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5559" w14:textId="7A1A816B" w:rsidR="00CC6471" w:rsidRPr="00063556" w:rsidRDefault="00CC6471" w:rsidP="00CC6471">
      <w:pPr>
        <w:spacing w:after="120" w:line="240" w:lineRule="auto"/>
        <w:mirrorIndents/>
        <w:jc w:val="right"/>
        <w:rPr>
          <w:i/>
          <w:iCs/>
        </w:rPr>
      </w:pPr>
      <w:r w:rsidRPr="00063556">
        <w:rPr>
          <w:i/>
          <w:iCs/>
        </w:rPr>
        <w:t xml:space="preserve">Nacionālais </w:t>
      </w:r>
      <w:proofErr w:type="spellStart"/>
      <w:r w:rsidRPr="00063556">
        <w:rPr>
          <w:i/>
          <w:iCs/>
        </w:rPr>
        <w:t>kiberdrošības</w:t>
      </w:r>
      <w:proofErr w:type="spellEnd"/>
      <w:r w:rsidRPr="00063556">
        <w:rPr>
          <w:i/>
          <w:iCs/>
        </w:rPr>
        <w:t xml:space="preserve"> centrs, 2</w:t>
      </w:r>
      <w:r w:rsidR="00616F6D">
        <w:rPr>
          <w:i/>
          <w:iCs/>
        </w:rPr>
        <w:t>9</w:t>
      </w:r>
      <w:r w:rsidRPr="00063556">
        <w:rPr>
          <w:i/>
          <w:iCs/>
        </w:rPr>
        <w:t>.07.2025.</w:t>
      </w:r>
    </w:p>
    <w:p w14:paraId="1222A0DE" w14:textId="77777777" w:rsidR="00FC20B3" w:rsidRPr="00A72DEE" w:rsidRDefault="00FC20B3" w:rsidP="00246DE5">
      <w:pPr>
        <w:spacing w:after="120" w:line="240" w:lineRule="auto"/>
        <w:mirrorIndents/>
        <w:jc w:val="center"/>
        <w:rPr>
          <w:b/>
          <w:noProof/>
          <w:sz w:val="32"/>
          <w:szCs w:val="32"/>
        </w:rPr>
      </w:pPr>
    </w:p>
    <w:sdt>
      <w:sdtPr>
        <w:rPr>
          <w:b/>
          <w:noProof/>
          <w:sz w:val="32"/>
          <w:szCs w:val="32"/>
        </w:rPr>
        <w:id w:val="-1491321702"/>
        <w:placeholder>
          <w:docPart w:val="DefaultPlaceholder_-1854013440"/>
        </w:placeholder>
      </w:sdtPr>
      <w:sdtEndPr/>
      <w:sdtContent>
        <w:p w14:paraId="4B57769C" w14:textId="002ACEB8" w:rsidR="00FC20B3" w:rsidRPr="00A72DEE" w:rsidRDefault="00A6020D" w:rsidP="00246DE5">
          <w:pPr>
            <w:spacing w:after="120" w:line="240" w:lineRule="auto"/>
            <w:mirrorIndents/>
            <w:jc w:val="center"/>
            <w:rPr>
              <w:b/>
              <w:noProof/>
              <w:sz w:val="32"/>
              <w:szCs w:val="32"/>
            </w:rPr>
          </w:pPr>
          <w:r w:rsidRPr="00A72DEE">
            <w:rPr>
              <w:b/>
              <w:noProof/>
              <w:sz w:val="32"/>
              <w:szCs w:val="32"/>
            </w:rPr>
            <w:t>[</w:t>
          </w:r>
          <w:r w:rsidR="00FC20B3" w:rsidRPr="00A72DEE">
            <w:rPr>
              <w:b/>
              <w:noProof/>
              <w:sz w:val="32"/>
              <w:szCs w:val="32"/>
            </w:rPr>
            <w:t>NKDL Subjekta  indentificējoša informācija</w:t>
          </w:r>
          <w:r w:rsidRPr="00A72DEE">
            <w:rPr>
              <w:b/>
              <w:noProof/>
              <w:sz w:val="32"/>
              <w:szCs w:val="32"/>
            </w:rPr>
            <w:t>]</w:t>
          </w:r>
        </w:p>
      </w:sdtContent>
    </w:sdt>
    <w:p w14:paraId="416352F7" w14:textId="77777777" w:rsidR="003836ED" w:rsidRDefault="00A76368" w:rsidP="00246DE5">
      <w:pPr>
        <w:spacing w:after="120" w:line="240" w:lineRule="auto"/>
        <w:mirrorIndents/>
        <w:jc w:val="center"/>
        <w:rPr>
          <w:b/>
          <w:noProof/>
          <w:sz w:val="32"/>
          <w:szCs w:val="32"/>
        </w:rPr>
      </w:pPr>
      <w:r w:rsidRPr="00A72DEE">
        <w:rPr>
          <w:b/>
          <w:noProof/>
          <w:sz w:val="32"/>
          <w:szCs w:val="32"/>
        </w:rPr>
        <w:t>Kiberdrošības pārvaldības poltika</w:t>
      </w:r>
      <w:r w:rsidR="00FD285A" w:rsidRPr="00A72DEE">
        <w:rPr>
          <w:b/>
          <w:noProof/>
          <w:sz w:val="32"/>
          <w:szCs w:val="32"/>
        </w:rPr>
        <w:t xml:space="preserve"> </w:t>
      </w:r>
    </w:p>
    <w:p w14:paraId="276B1480" w14:textId="4024065A" w:rsidR="0074731D" w:rsidRPr="003836ED" w:rsidRDefault="00205C72" w:rsidP="00246DE5">
      <w:pPr>
        <w:spacing w:after="120" w:line="240" w:lineRule="auto"/>
        <w:mirrorIndents/>
        <w:jc w:val="center"/>
        <w:rPr>
          <w:bCs/>
          <w:i/>
          <w:iCs/>
          <w:noProof/>
        </w:rPr>
      </w:pPr>
      <w:r>
        <w:rPr>
          <w:bCs/>
          <w:i/>
          <w:iCs/>
          <w:noProof/>
        </w:rPr>
        <w:t>D</w:t>
      </w:r>
      <w:r w:rsidR="003836ED" w:rsidRPr="003836ED">
        <w:rPr>
          <w:bCs/>
          <w:i/>
          <w:iCs/>
          <w:noProof/>
        </w:rPr>
        <w:t>okuments, kas nosaka organizācijas pieeju kiberdrošībai, mērķus, principus un atbildību sadalījumu</w:t>
      </w:r>
      <w:r w:rsidR="00620BDA">
        <w:rPr>
          <w:bCs/>
          <w:i/>
          <w:iCs/>
          <w:noProof/>
        </w:rPr>
        <w:t>.</w:t>
      </w:r>
      <w:r w:rsidR="005A4921" w:rsidRPr="003836ED">
        <w:rPr>
          <w:bCs/>
          <w:i/>
          <w:iCs/>
          <w:noProof/>
        </w:rPr>
        <w:br/>
      </w:r>
    </w:p>
    <w:tbl>
      <w:tblPr>
        <w:tblStyle w:val="GridTable4"/>
        <w:tblW w:w="9067" w:type="dxa"/>
        <w:tblLook w:val="04A0" w:firstRow="1" w:lastRow="0" w:firstColumn="1" w:lastColumn="0" w:noHBand="0" w:noVBand="1"/>
      </w:tblPr>
      <w:tblGrid>
        <w:gridCol w:w="1073"/>
        <w:gridCol w:w="5927"/>
        <w:gridCol w:w="2067"/>
      </w:tblGrid>
      <w:tr w:rsidR="0074731D" w:rsidRPr="00D343B0" w14:paraId="455617E4" w14:textId="77777777" w:rsidTr="006D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51FE3F60" w14:textId="77777777" w:rsidR="0074731D" w:rsidRPr="00D343B0" w:rsidRDefault="0074731D" w:rsidP="0074731D">
            <w:pPr>
              <w:widowControl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5927" w:type="dxa"/>
            <w:hideMark/>
          </w:tcPr>
          <w:p w14:paraId="21D22DA7" w14:textId="029433EF" w:rsidR="0074731D" w:rsidRPr="00D343B0" w:rsidRDefault="00975299" w:rsidP="0074731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</w:rPr>
              <w:t>Apakšnodaļa nosaukums</w:t>
            </w:r>
          </w:p>
        </w:tc>
        <w:tc>
          <w:tcPr>
            <w:tcW w:w="2067" w:type="dxa"/>
            <w:hideMark/>
          </w:tcPr>
          <w:p w14:paraId="172E291A" w14:textId="77777777" w:rsidR="0074731D" w:rsidRPr="00D343B0" w:rsidRDefault="0074731D" w:rsidP="0074731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Statuss</w:t>
            </w:r>
          </w:p>
        </w:tc>
      </w:tr>
      <w:tr w:rsidR="0074731D" w:rsidRPr="00D343B0" w14:paraId="6111150F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12DF4EBD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927" w:type="dxa"/>
            <w:hideMark/>
          </w:tcPr>
          <w:p w14:paraId="1BDC5206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Organizācijas konteksts</w:t>
            </w:r>
          </w:p>
        </w:tc>
        <w:tc>
          <w:tcPr>
            <w:tcW w:w="2067" w:type="dxa"/>
            <w:hideMark/>
          </w:tcPr>
          <w:p w14:paraId="6E436DD8" w14:textId="5BEEA589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5E58958A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6761C932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927" w:type="dxa"/>
            <w:hideMark/>
          </w:tcPr>
          <w:p w14:paraId="2D7080D2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Ieinteresēto pušu identificēšana</w:t>
            </w:r>
          </w:p>
        </w:tc>
        <w:tc>
          <w:tcPr>
            <w:tcW w:w="2067" w:type="dxa"/>
            <w:hideMark/>
          </w:tcPr>
          <w:p w14:paraId="500AC337" w14:textId="2AE4F2FE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41FC2D6A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076DC5E6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927" w:type="dxa"/>
            <w:hideMark/>
          </w:tcPr>
          <w:p w14:paraId="194DB836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Atbilstība nacionālajiem normatīvajiem aktiem</w:t>
            </w:r>
          </w:p>
        </w:tc>
        <w:tc>
          <w:tcPr>
            <w:tcW w:w="2067" w:type="dxa"/>
            <w:hideMark/>
          </w:tcPr>
          <w:p w14:paraId="55A0B72C" w14:textId="43EADB31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6E4D7610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0267216A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927" w:type="dxa"/>
            <w:hideMark/>
          </w:tcPr>
          <w:p w14:paraId="4979942F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Jomai specifiskās prasības</w:t>
            </w:r>
          </w:p>
        </w:tc>
        <w:tc>
          <w:tcPr>
            <w:tcW w:w="2067" w:type="dxa"/>
            <w:hideMark/>
          </w:tcPr>
          <w:p w14:paraId="58369D27" w14:textId="56BAD1B0" w:rsidR="0074731D" w:rsidRPr="00D343B0" w:rsidRDefault="006D7A6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 </w:t>
            </w:r>
          </w:p>
        </w:tc>
      </w:tr>
      <w:tr w:rsidR="0074731D" w:rsidRPr="00D343B0" w14:paraId="7B6A4192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2CB724C5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927" w:type="dxa"/>
            <w:hideMark/>
          </w:tcPr>
          <w:p w14:paraId="090A7535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Pārvaldības apņemšanās</w:t>
            </w:r>
          </w:p>
        </w:tc>
        <w:tc>
          <w:tcPr>
            <w:tcW w:w="2067" w:type="dxa"/>
            <w:hideMark/>
          </w:tcPr>
          <w:p w14:paraId="713F2B59" w14:textId="73B01D33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3746A6B4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36626F55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927" w:type="dxa"/>
            <w:hideMark/>
          </w:tcPr>
          <w:p w14:paraId="7955DBEE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Informācijas drošības politika</w:t>
            </w:r>
          </w:p>
        </w:tc>
        <w:tc>
          <w:tcPr>
            <w:tcW w:w="2067" w:type="dxa"/>
            <w:hideMark/>
          </w:tcPr>
          <w:p w14:paraId="6DE3214F" w14:textId="68344B06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443801B7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07FAB5EB" w14:textId="2F7804DB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="006D7A6D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27" w:type="dxa"/>
            <w:hideMark/>
          </w:tcPr>
          <w:p w14:paraId="3821B8BC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Lomas, pienākumi un atbildība</w:t>
            </w:r>
          </w:p>
        </w:tc>
        <w:tc>
          <w:tcPr>
            <w:tcW w:w="2067" w:type="dxa"/>
            <w:hideMark/>
          </w:tcPr>
          <w:p w14:paraId="00B8DF44" w14:textId="0FFCE8DC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7E330C94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33A6A8CA" w14:textId="610E289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="006D7A6D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27" w:type="dxa"/>
            <w:hideMark/>
          </w:tcPr>
          <w:p w14:paraId="1BA62906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Pārbaudes un auditi</w:t>
            </w:r>
          </w:p>
        </w:tc>
        <w:tc>
          <w:tcPr>
            <w:tcW w:w="2067" w:type="dxa"/>
            <w:hideMark/>
          </w:tcPr>
          <w:p w14:paraId="50808446" w14:textId="348E0CAF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5874629F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07767418" w14:textId="773818DF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="006D7A6D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27" w:type="dxa"/>
            <w:hideMark/>
          </w:tcPr>
          <w:p w14:paraId="6650669A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D343B0">
              <w:rPr>
                <w:rFonts w:eastAsia="Times New Roman"/>
                <w:sz w:val="20"/>
                <w:szCs w:val="20"/>
                <w:lang w:eastAsia="en-US"/>
              </w:rPr>
              <w:t>Kiberdrošības</w:t>
            </w:r>
            <w:proofErr w:type="spellEnd"/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kultūra un izpratne</w:t>
            </w:r>
          </w:p>
        </w:tc>
        <w:tc>
          <w:tcPr>
            <w:tcW w:w="2067" w:type="dxa"/>
            <w:hideMark/>
          </w:tcPr>
          <w:p w14:paraId="357D1064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eastAsia="Times New Roman" w:hAnsi="Segoe UI Emoji" w:cs="Segoe UI Emoji"/>
                <w:sz w:val="20"/>
                <w:szCs w:val="20"/>
                <w:lang w:eastAsia="en-US"/>
              </w:rPr>
              <w:t>☑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Rekomendējama</w:t>
            </w:r>
          </w:p>
        </w:tc>
      </w:tr>
      <w:tr w:rsidR="0074731D" w:rsidRPr="00D343B0" w14:paraId="063A9DC0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03F8564A" w14:textId="3E1F120E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="006D7A6D">
              <w:rPr>
                <w:rFonts w:eastAsia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27" w:type="dxa"/>
            <w:hideMark/>
          </w:tcPr>
          <w:p w14:paraId="69131744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Atbildības</w:t>
            </w:r>
          </w:p>
        </w:tc>
        <w:tc>
          <w:tcPr>
            <w:tcW w:w="2067" w:type="dxa"/>
            <w:hideMark/>
          </w:tcPr>
          <w:p w14:paraId="1C70895C" w14:textId="6700CB5B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0E43480E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11C2903E" w14:textId="4904846B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="006D7A6D"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27" w:type="dxa"/>
            <w:hideMark/>
          </w:tcPr>
          <w:p w14:paraId="7024448E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Atbalsts</w:t>
            </w:r>
          </w:p>
        </w:tc>
        <w:tc>
          <w:tcPr>
            <w:tcW w:w="2067" w:type="dxa"/>
            <w:hideMark/>
          </w:tcPr>
          <w:p w14:paraId="3A66F7F8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eastAsia="Times New Roman" w:hAnsi="Segoe UI Emoji" w:cs="Segoe UI Emoji"/>
                <w:sz w:val="20"/>
                <w:szCs w:val="20"/>
                <w:lang w:eastAsia="en-US"/>
              </w:rPr>
              <w:t>☑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Rekomendējama</w:t>
            </w:r>
          </w:p>
        </w:tc>
      </w:tr>
      <w:tr w:rsidR="0074731D" w:rsidRPr="00D343B0" w14:paraId="36F6B7E6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462FFC34" w14:textId="4D58D4D6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="006D7A6D">
              <w:rPr>
                <w:rFonts w:eastAsia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27" w:type="dxa"/>
            <w:hideMark/>
          </w:tcPr>
          <w:p w14:paraId="39EB3CCB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Kompetence</w:t>
            </w:r>
          </w:p>
        </w:tc>
        <w:tc>
          <w:tcPr>
            <w:tcW w:w="2067" w:type="dxa"/>
            <w:hideMark/>
          </w:tcPr>
          <w:p w14:paraId="108812CA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eastAsia="Times New Roman" w:hAnsi="Segoe UI Emoji" w:cs="Segoe UI Emoji"/>
                <w:sz w:val="20"/>
                <w:szCs w:val="20"/>
                <w:lang w:eastAsia="en-US"/>
              </w:rPr>
              <w:t>☑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Rekomendējama</w:t>
            </w:r>
          </w:p>
        </w:tc>
      </w:tr>
      <w:tr w:rsidR="0074731D" w:rsidRPr="00D343B0" w14:paraId="3481B77B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31F9C6C6" w14:textId="63E9F905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="006D7A6D">
              <w:rPr>
                <w:rFonts w:eastAsia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27" w:type="dxa"/>
            <w:hideMark/>
          </w:tcPr>
          <w:p w14:paraId="564B7A10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Informētība</w:t>
            </w:r>
          </w:p>
        </w:tc>
        <w:tc>
          <w:tcPr>
            <w:tcW w:w="2067" w:type="dxa"/>
            <w:hideMark/>
          </w:tcPr>
          <w:p w14:paraId="28969360" w14:textId="0B99C5DA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52B20644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6F68C086" w14:textId="22032882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="006D7A6D">
              <w:rPr>
                <w:rFonts w:eastAsia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27" w:type="dxa"/>
            <w:hideMark/>
          </w:tcPr>
          <w:p w14:paraId="20AEC287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Komunikācija</w:t>
            </w:r>
          </w:p>
        </w:tc>
        <w:tc>
          <w:tcPr>
            <w:tcW w:w="2067" w:type="dxa"/>
            <w:hideMark/>
          </w:tcPr>
          <w:p w14:paraId="6B69739B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eastAsia="Times New Roman" w:hAnsi="Segoe UI Emoji" w:cs="Segoe UI Emoji"/>
                <w:sz w:val="20"/>
                <w:szCs w:val="20"/>
                <w:lang w:eastAsia="en-US"/>
              </w:rPr>
              <w:t>☑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Rekomendējama</w:t>
            </w:r>
          </w:p>
        </w:tc>
      </w:tr>
      <w:tr w:rsidR="0074731D" w:rsidRPr="00D343B0" w14:paraId="363349C0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12A74BF4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927" w:type="dxa"/>
            <w:hideMark/>
          </w:tcPr>
          <w:p w14:paraId="37197CAC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Riska novērtēšana</w:t>
            </w:r>
          </w:p>
        </w:tc>
        <w:tc>
          <w:tcPr>
            <w:tcW w:w="2067" w:type="dxa"/>
            <w:hideMark/>
          </w:tcPr>
          <w:p w14:paraId="67D0B2B1" w14:textId="13F38DEA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23F057D5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68A11274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927" w:type="dxa"/>
            <w:hideMark/>
          </w:tcPr>
          <w:p w14:paraId="064DE5D4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Riska apstrāde</w:t>
            </w:r>
          </w:p>
        </w:tc>
        <w:tc>
          <w:tcPr>
            <w:tcW w:w="2067" w:type="dxa"/>
            <w:hideMark/>
          </w:tcPr>
          <w:p w14:paraId="7576A8E4" w14:textId="753CB377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4049152C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5666392E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5927" w:type="dxa"/>
            <w:hideMark/>
          </w:tcPr>
          <w:p w14:paraId="2AAC7965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Informācijas drošības mērķi</w:t>
            </w:r>
          </w:p>
        </w:tc>
        <w:tc>
          <w:tcPr>
            <w:tcW w:w="2067" w:type="dxa"/>
            <w:hideMark/>
          </w:tcPr>
          <w:p w14:paraId="35B9EFCF" w14:textId="4663743E" w:rsidR="0074731D" w:rsidRPr="00D343B0" w:rsidRDefault="006D7A6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71516C54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4EBDFE98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5927" w:type="dxa"/>
            <w:hideMark/>
          </w:tcPr>
          <w:p w14:paraId="69DCDD3D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Aizsardzība pret riskiem un apdraudējumiem</w:t>
            </w:r>
          </w:p>
        </w:tc>
        <w:tc>
          <w:tcPr>
            <w:tcW w:w="2067" w:type="dxa"/>
            <w:hideMark/>
          </w:tcPr>
          <w:p w14:paraId="59206D10" w14:textId="29BCA766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129A2559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5BB5C59B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5927" w:type="dxa"/>
            <w:hideMark/>
          </w:tcPr>
          <w:p w14:paraId="676AA525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Nepārtrauktības un incidentu reaģēšanas plāni</w:t>
            </w:r>
          </w:p>
        </w:tc>
        <w:tc>
          <w:tcPr>
            <w:tcW w:w="2067" w:type="dxa"/>
            <w:hideMark/>
          </w:tcPr>
          <w:p w14:paraId="014E747B" w14:textId="1DCF0E4C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6DCB68C7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3E977830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5927" w:type="dxa"/>
            <w:hideMark/>
          </w:tcPr>
          <w:p w14:paraId="53EA8D66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Politikas, apmācības un pieejamības plāni</w:t>
            </w:r>
          </w:p>
        </w:tc>
        <w:tc>
          <w:tcPr>
            <w:tcW w:w="2067" w:type="dxa"/>
            <w:hideMark/>
          </w:tcPr>
          <w:p w14:paraId="683F523A" w14:textId="1EB4022D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44648F50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2F7F84EB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5927" w:type="dxa"/>
            <w:hideMark/>
          </w:tcPr>
          <w:p w14:paraId="4A1AF121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Fiziskā drošība</w:t>
            </w:r>
          </w:p>
        </w:tc>
        <w:tc>
          <w:tcPr>
            <w:tcW w:w="2067" w:type="dxa"/>
            <w:hideMark/>
          </w:tcPr>
          <w:p w14:paraId="06A15CF4" w14:textId="6AFFF58B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2DF40992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60DAD2E4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5927" w:type="dxa"/>
            <w:hideMark/>
          </w:tcPr>
          <w:p w14:paraId="45D96512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Personāla drošība un IAM</w:t>
            </w:r>
          </w:p>
        </w:tc>
        <w:tc>
          <w:tcPr>
            <w:tcW w:w="2067" w:type="dxa"/>
            <w:hideMark/>
          </w:tcPr>
          <w:p w14:paraId="40074120" w14:textId="6E0C35CA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3FA9C2E3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061FE0B6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5927" w:type="dxa"/>
            <w:hideMark/>
          </w:tcPr>
          <w:p w14:paraId="0FFC6237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Apmācība un informētība</w:t>
            </w:r>
          </w:p>
        </w:tc>
        <w:tc>
          <w:tcPr>
            <w:tcW w:w="2067" w:type="dxa"/>
            <w:hideMark/>
          </w:tcPr>
          <w:p w14:paraId="60507F04" w14:textId="7325A714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5533E187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6EA65B39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5927" w:type="dxa"/>
            <w:hideMark/>
          </w:tcPr>
          <w:p w14:paraId="7F0694F6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Tīkla un darba staciju drošība</w:t>
            </w:r>
          </w:p>
        </w:tc>
        <w:tc>
          <w:tcPr>
            <w:tcW w:w="2067" w:type="dxa"/>
            <w:hideMark/>
          </w:tcPr>
          <w:p w14:paraId="3A8D99ED" w14:textId="2F3DEE86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1A433641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425FE8A9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5927" w:type="dxa"/>
            <w:hideMark/>
          </w:tcPr>
          <w:p w14:paraId="746D7575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Piekļuves kontrole, šifrēšana, atjauninājumi</w:t>
            </w:r>
          </w:p>
        </w:tc>
        <w:tc>
          <w:tcPr>
            <w:tcW w:w="2067" w:type="dxa"/>
            <w:hideMark/>
          </w:tcPr>
          <w:p w14:paraId="263FF015" w14:textId="6C1321DE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4BD390B5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1F8518AF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5927" w:type="dxa"/>
            <w:hideMark/>
          </w:tcPr>
          <w:p w14:paraId="5010A679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Aplikāciju drošība</w:t>
            </w:r>
          </w:p>
        </w:tc>
        <w:tc>
          <w:tcPr>
            <w:tcW w:w="2067" w:type="dxa"/>
            <w:hideMark/>
          </w:tcPr>
          <w:p w14:paraId="29CF52F0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eastAsia="Times New Roman" w:hAnsi="Segoe UI Emoji" w:cs="Segoe UI Emoji"/>
                <w:sz w:val="20"/>
                <w:szCs w:val="20"/>
                <w:lang w:eastAsia="en-US"/>
              </w:rPr>
              <w:t>☑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Rekomendējama</w:t>
            </w:r>
          </w:p>
        </w:tc>
      </w:tr>
      <w:tr w:rsidR="0074731D" w:rsidRPr="00D343B0" w14:paraId="172F97C3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0E634553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5927" w:type="dxa"/>
            <w:hideMark/>
          </w:tcPr>
          <w:p w14:paraId="11674544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Konfigurāciju pārvaldība un </w:t>
            </w:r>
            <w:proofErr w:type="spellStart"/>
            <w:r w:rsidRPr="00D343B0">
              <w:rPr>
                <w:rFonts w:eastAsia="Times New Roman"/>
                <w:sz w:val="20"/>
                <w:szCs w:val="20"/>
                <w:lang w:eastAsia="en-US"/>
              </w:rPr>
              <w:t>privilēģētā</w:t>
            </w:r>
            <w:proofErr w:type="spellEnd"/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piekļuve</w:t>
            </w:r>
          </w:p>
        </w:tc>
        <w:tc>
          <w:tcPr>
            <w:tcW w:w="2067" w:type="dxa"/>
            <w:hideMark/>
          </w:tcPr>
          <w:p w14:paraId="41D8F973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eastAsia="Times New Roman" w:hAnsi="Segoe UI Emoji" w:cs="Segoe UI Emoji"/>
                <w:sz w:val="20"/>
                <w:szCs w:val="20"/>
                <w:lang w:eastAsia="en-US"/>
              </w:rPr>
              <w:t>☑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Rekomendējama</w:t>
            </w:r>
          </w:p>
        </w:tc>
      </w:tr>
      <w:tr w:rsidR="0074731D" w:rsidRPr="00D343B0" w14:paraId="5FE2FCCB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17DDD10F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5927" w:type="dxa"/>
            <w:hideMark/>
          </w:tcPr>
          <w:p w14:paraId="33A9EF49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Kaitīgā programmatūra</w:t>
            </w:r>
          </w:p>
        </w:tc>
        <w:tc>
          <w:tcPr>
            <w:tcW w:w="2067" w:type="dxa"/>
            <w:hideMark/>
          </w:tcPr>
          <w:p w14:paraId="194D9E43" w14:textId="6BF6AE7B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4F99951B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2208F0D5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5927" w:type="dxa"/>
            <w:hideMark/>
          </w:tcPr>
          <w:p w14:paraId="4C0BE33C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Ārpakalpojumu pārvaldība</w:t>
            </w:r>
          </w:p>
        </w:tc>
        <w:tc>
          <w:tcPr>
            <w:tcW w:w="2067" w:type="dxa"/>
            <w:hideMark/>
          </w:tcPr>
          <w:p w14:paraId="7F19560D" w14:textId="308778C6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5243CFE3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51FA00BA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4.11</w:t>
            </w:r>
          </w:p>
        </w:tc>
        <w:tc>
          <w:tcPr>
            <w:tcW w:w="5927" w:type="dxa"/>
            <w:hideMark/>
          </w:tcPr>
          <w:p w14:paraId="7EFACA31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Uzraudzība un auditi</w:t>
            </w:r>
          </w:p>
        </w:tc>
        <w:tc>
          <w:tcPr>
            <w:tcW w:w="2067" w:type="dxa"/>
            <w:hideMark/>
          </w:tcPr>
          <w:p w14:paraId="762BA5D8" w14:textId="4CF496B7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1283CD64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0E8B12BB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5927" w:type="dxa"/>
            <w:hideMark/>
          </w:tcPr>
          <w:p w14:paraId="085A4C8E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Datu rezerves kopēšana un atjaunošana</w:t>
            </w:r>
          </w:p>
        </w:tc>
        <w:tc>
          <w:tcPr>
            <w:tcW w:w="2067" w:type="dxa"/>
            <w:hideMark/>
          </w:tcPr>
          <w:p w14:paraId="0B37950B" w14:textId="2D0CB007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27B7F389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656B3996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4.13</w:t>
            </w:r>
          </w:p>
        </w:tc>
        <w:tc>
          <w:tcPr>
            <w:tcW w:w="5927" w:type="dxa"/>
            <w:hideMark/>
          </w:tcPr>
          <w:p w14:paraId="5D8D1B8A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Iznīcināšana</w:t>
            </w:r>
          </w:p>
        </w:tc>
        <w:tc>
          <w:tcPr>
            <w:tcW w:w="2067" w:type="dxa"/>
            <w:hideMark/>
          </w:tcPr>
          <w:p w14:paraId="09665421" w14:textId="5CA4597A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6D587BC0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57068EC2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4.14</w:t>
            </w:r>
          </w:p>
        </w:tc>
        <w:tc>
          <w:tcPr>
            <w:tcW w:w="5927" w:type="dxa"/>
            <w:hideMark/>
          </w:tcPr>
          <w:p w14:paraId="319F86F6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Uzlabošana un korektīvās darbības</w:t>
            </w:r>
          </w:p>
        </w:tc>
        <w:tc>
          <w:tcPr>
            <w:tcW w:w="2067" w:type="dxa"/>
            <w:hideMark/>
          </w:tcPr>
          <w:p w14:paraId="50096714" w14:textId="77777777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eastAsia="Times New Roman" w:hAnsi="Segoe UI Emoji" w:cs="Segoe UI Emoji"/>
                <w:sz w:val="20"/>
                <w:szCs w:val="20"/>
                <w:lang w:eastAsia="en-US"/>
              </w:rPr>
              <w:t>☑</w:t>
            </w:r>
            <w:r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Rekomendējama</w:t>
            </w:r>
          </w:p>
        </w:tc>
      </w:tr>
      <w:tr w:rsidR="0074731D" w:rsidRPr="00D343B0" w14:paraId="2E8B72ED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769072B4" w14:textId="74189F18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5.1–5.</w:t>
            </w:r>
            <w:r w:rsidR="00DE4A76" w:rsidRPr="00D343B0">
              <w:rPr>
                <w:rFonts w:eastAsia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27" w:type="dxa"/>
            <w:hideMark/>
          </w:tcPr>
          <w:p w14:paraId="1E8D4A45" w14:textId="77777777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Incidentu pārvaldība (visi punkti)</w:t>
            </w:r>
          </w:p>
        </w:tc>
        <w:tc>
          <w:tcPr>
            <w:tcW w:w="2067" w:type="dxa"/>
            <w:hideMark/>
          </w:tcPr>
          <w:p w14:paraId="2D66FBAE" w14:textId="543CB99D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Obligāti</w:t>
            </w:r>
          </w:p>
        </w:tc>
      </w:tr>
      <w:tr w:rsidR="0074731D" w:rsidRPr="00D343B0" w14:paraId="193EEC47" w14:textId="77777777" w:rsidTr="006D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36C4BB46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6.1–6.2</w:t>
            </w:r>
          </w:p>
        </w:tc>
        <w:tc>
          <w:tcPr>
            <w:tcW w:w="5927" w:type="dxa"/>
            <w:hideMark/>
          </w:tcPr>
          <w:p w14:paraId="345149B7" w14:textId="20FAB3B3" w:rsidR="0074731D" w:rsidRPr="00D343B0" w:rsidRDefault="0074731D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Atbilstības pārbaude</w:t>
            </w:r>
            <w:r w:rsidR="00676662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67" w:type="dxa"/>
            <w:hideMark/>
          </w:tcPr>
          <w:p w14:paraId="2D85D0CA" w14:textId="1B3473A1" w:rsidR="0074731D" w:rsidRPr="00D343B0" w:rsidRDefault="00D343B0" w:rsidP="007473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  <w:tr w:rsidR="0074731D" w:rsidRPr="00D343B0" w14:paraId="4C63FF94" w14:textId="77777777" w:rsidTr="006D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hideMark/>
          </w:tcPr>
          <w:p w14:paraId="1DFB2302" w14:textId="77777777" w:rsidR="0074731D" w:rsidRPr="00D343B0" w:rsidRDefault="0074731D" w:rsidP="0074731D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7.1–7.7</w:t>
            </w:r>
          </w:p>
        </w:tc>
        <w:tc>
          <w:tcPr>
            <w:tcW w:w="5927" w:type="dxa"/>
            <w:hideMark/>
          </w:tcPr>
          <w:p w14:paraId="467AC015" w14:textId="63510680" w:rsidR="0074731D" w:rsidRPr="00D343B0" w:rsidRDefault="0074731D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eastAsia="Times New Roman"/>
                <w:sz w:val="20"/>
                <w:szCs w:val="20"/>
                <w:lang w:eastAsia="en-US"/>
              </w:rPr>
              <w:t>Plānošana, audits, izvērtēšana</w:t>
            </w:r>
            <w:r w:rsidR="00BF606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un pašvērtējums</w:t>
            </w:r>
          </w:p>
        </w:tc>
        <w:tc>
          <w:tcPr>
            <w:tcW w:w="2067" w:type="dxa"/>
            <w:hideMark/>
          </w:tcPr>
          <w:p w14:paraId="6E27B83C" w14:textId="64714CCF" w:rsidR="0074731D" w:rsidRPr="00D343B0" w:rsidRDefault="00D343B0" w:rsidP="007473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US"/>
              </w:rPr>
            </w:pPr>
            <w:r w:rsidRPr="00D343B0">
              <w:rPr>
                <w:rFonts w:ascii="Segoe UI Emoji" w:hAnsi="Segoe UI Emoji" w:cs="Segoe UI Emoji"/>
                <w:bCs/>
                <w:noProof/>
                <w:sz w:val="20"/>
                <w:szCs w:val="20"/>
              </w:rPr>
              <w:t>✔</w:t>
            </w:r>
            <w:r w:rsidRPr="00D343B0">
              <w:rPr>
                <w:bCs/>
                <w:noProof/>
                <w:sz w:val="20"/>
                <w:szCs w:val="20"/>
              </w:rPr>
              <w:t>️</w:t>
            </w:r>
            <w:r w:rsidR="0074731D" w:rsidRPr="00D343B0">
              <w:rPr>
                <w:rFonts w:eastAsia="Times New Roman"/>
                <w:sz w:val="20"/>
                <w:szCs w:val="20"/>
                <w:lang w:eastAsia="en-US"/>
              </w:rPr>
              <w:t xml:space="preserve"> Obligāta</w:t>
            </w:r>
          </w:p>
        </w:tc>
      </w:tr>
    </w:tbl>
    <w:p w14:paraId="52594741" w14:textId="77777777" w:rsidR="006D7A6D" w:rsidRDefault="006D7A6D" w:rsidP="00246DE5">
      <w:pPr>
        <w:tabs>
          <w:tab w:val="left" w:pos="6510"/>
        </w:tabs>
        <w:spacing w:after="120" w:line="240" w:lineRule="auto"/>
        <w:mirrorIndents/>
      </w:pPr>
    </w:p>
    <w:p w14:paraId="5A31EBEE" w14:textId="77777777" w:rsidR="006D7A6D" w:rsidRDefault="006D7A6D">
      <w:pPr>
        <w:widowControl/>
        <w:jc w:val="left"/>
      </w:pPr>
      <w:r>
        <w:br w:type="page"/>
      </w:r>
    </w:p>
    <w:p w14:paraId="45B5D81B" w14:textId="460F7615" w:rsidR="002F5963" w:rsidRPr="00A72DEE" w:rsidRDefault="002F5963" w:rsidP="00246DE5">
      <w:pPr>
        <w:tabs>
          <w:tab w:val="left" w:pos="6510"/>
        </w:tabs>
        <w:spacing w:after="120" w:line="240" w:lineRule="auto"/>
        <w:mirrorIndents/>
        <w:sectPr w:rsidR="002F5963" w:rsidRPr="00A72DEE" w:rsidSect="00FD08E0">
          <w:footerReference w:type="default" r:id="rId8"/>
          <w:footerReference w:type="first" r:id="rId9"/>
          <w:type w:val="continuous"/>
          <w:pgSz w:w="11906" w:h="16838" w:code="9"/>
          <w:pgMar w:top="1134" w:right="1134" w:bottom="1134" w:left="1701" w:header="454" w:footer="454" w:gutter="0"/>
          <w:cols w:space="708"/>
          <w:vAlign w:val="both"/>
          <w:titlePg/>
          <w:docGrid w:linePitch="360"/>
        </w:sectPr>
      </w:pPr>
      <w:r w:rsidRPr="00A72DEE">
        <w:lastRenderedPageBreak/>
        <w:tab/>
      </w:r>
      <w:r w:rsidRPr="00A72DEE">
        <w:tab/>
      </w:r>
    </w:p>
    <w:sdt>
      <w:sdtPr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lv-LV" w:eastAsia="lv-LV"/>
        </w:rPr>
        <w:id w:val="-44492793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9459305" w14:textId="583BCA2B" w:rsidR="00E35162" w:rsidRPr="00B91033" w:rsidRDefault="00251D92" w:rsidP="00596E42">
          <w:pPr>
            <w:pStyle w:val="TOCHeading"/>
            <w:shd w:val="clear" w:color="auto" w:fill="FFFFFF" w:themeFill="background1"/>
            <w:jc w:val="center"/>
            <w:rPr>
              <w:rFonts w:ascii="Times New Roman" w:hAnsi="Times New Roman" w:cs="Times New Roman"/>
              <w:color w:val="000000" w:themeColor="text1"/>
              <w:lang w:val="lv-LV"/>
            </w:rPr>
          </w:pPr>
          <w:r w:rsidRPr="00B91033">
            <w:rPr>
              <w:rFonts w:ascii="Times New Roman" w:hAnsi="Times New Roman" w:cs="Times New Roman"/>
              <w:color w:val="000000" w:themeColor="text1"/>
              <w:lang w:val="lv-LV"/>
            </w:rPr>
            <w:t>SATURS</w:t>
          </w:r>
        </w:p>
        <w:p w14:paraId="17DC558A" w14:textId="3B44C198" w:rsidR="00616F6D" w:rsidRDefault="00E3516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72DEE">
            <w:fldChar w:fldCharType="begin"/>
          </w:r>
          <w:r w:rsidRPr="00A72DEE">
            <w:instrText xml:space="preserve"> TOC \o "1-3" \h \z \u </w:instrText>
          </w:r>
          <w:r w:rsidRPr="00A72DEE">
            <w:fldChar w:fldCharType="separate"/>
          </w:r>
          <w:hyperlink w:anchor="_Toc204681867" w:history="1">
            <w:r w:rsidR="00616F6D" w:rsidRPr="007E37AA">
              <w:rPr>
                <w:rStyle w:val="Hyperlink"/>
                <w:noProof/>
              </w:rPr>
              <w:t>1.</w:t>
            </w:r>
            <w:r w:rsidR="00616F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F6D" w:rsidRPr="007E37AA">
              <w:rPr>
                <w:rStyle w:val="Hyperlink"/>
                <w:noProof/>
              </w:rPr>
              <w:t>VISPĀRĪGĀ INFORMĀCIJA</w:t>
            </w:r>
            <w:r w:rsidR="00616F6D">
              <w:rPr>
                <w:noProof/>
                <w:webHidden/>
              </w:rPr>
              <w:tab/>
            </w:r>
            <w:r w:rsidR="00616F6D">
              <w:rPr>
                <w:noProof/>
                <w:webHidden/>
              </w:rPr>
              <w:fldChar w:fldCharType="begin"/>
            </w:r>
            <w:r w:rsidR="00616F6D">
              <w:rPr>
                <w:noProof/>
                <w:webHidden/>
              </w:rPr>
              <w:instrText xml:space="preserve"> PAGEREF _Toc204681867 \h </w:instrText>
            </w:r>
            <w:r w:rsidR="00616F6D">
              <w:rPr>
                <w:noProof/>
                <w:webHidden/>
              </w:rPr>
            </w:r>
            <w:r w:rsidR="00616F6D">
              <w:rPr>
                <w:noProof/>
                <w:webHidden/>
              </w:rPr>
              <w:fldChar w:fldCharType="separate"/>
            </w:r>
            <w:r w:rsidR="00616F6D">
              <w:rPr>
                <w:noProof/>
                <w:webHidden/>
              </w:rPr>
              <w:t>4</w:t>
            </w:r>
            <w:r w:rsidR="00616F6D">
              <w:rPr>
                <w:noProof/>
                <w:webHidden/>
              </w:rPr>
              <w:fldChar w:fldCharType="end"/>
            </w:r>
          </w:hyperlink>
        </w:p>
        <w:p w14:paraId="7ACA4082" w14:textId="3ADC18C0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68" w:history="1">
            <w:r w:rsidRPr="007E37AA">
              <w:rPr>
                <w:rStyle w:val="Hyperlink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Organizācijas konteksts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9AFF7" w14:textId="0E08B127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69" w:history="1">
            <w:r w:rsidRPr="007E37AA">
              <w:rPr>
                <w:rStyle w:val="Hyperlink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Ieinteresēto pušu identificēšana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07092" w14:textId="5F366371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0" w:history="1">
            <w:r w:rsidRPr="007E37AA">
              <w:rPr>
                <w:rStyle w:val="Hyperlink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Atbilstība nacionālajiem normatīvajiem aktiem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B62B7" w14:textId="334AF0AA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1" w:history="1">
            <w:r w:rsidRPr="007E37AA">
              <w:rPr>
                <w:rStyle w:val="Hyperlink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Jomai specifiskās prasības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6B982" w14:textId="0EF0BA0F" w:rsidR="00616F6D" w:rsidRDefault="00616F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2" w:history="1">
            <w:r w:rsidRPr="007E37AA">
              <w:rPr>
                <w:rStyle w:val="Hyperlink"/>
                <w:noProof/>
              </w:rPr>
              <w:t>2. INFORMĀCIJAS SISTĒMAS  PĀRVALDĪBA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77E74" w14:textId="5628A459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3" w:history="1">
            <w:r w:rsidRPr="007E37AA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Pārvaldības apņemšanās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AF3E6" w14:textId="6B2648AB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4" w:history="1">
            <w:r w:rsidRPr="007E37AA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Organizācijas drošības politika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B642A" w14:textId="370FC87F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5" w:history="1">
            <w:r w:rsidRPr="007E37AA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Lomas, pienākumi un atbildība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EA682" w14:textId="27602459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6" w:history="1">
            <w:r w:rsidRPr="007E37AA">
              <w:rPr>
                <w:rStyle w:val="Hyperlink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Pārbaudes un auditi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68E62" w14:textId="503D2347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7" w:history="1">
            <w:r w:rsidRPr="007E37AA">
              <w:rPr>
                <w:rStyle w:val="Hyperlink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Kiberdrošības kultūra un izpratne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1388B" w14:textId="32F8BF0E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8" w:history="1">
            <w:r w:rsidRPr="007E37AA">
              <w:rPr>
                <w:rStyle w:val="Hyperlink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Atbildības sadalījums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2F88C" w14:textId="128631A7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79" w:history="1">
            <w:r w:rsidRPr="007E37AA">
              <w:rPr>
                <w:rStyle w:val="Hyperlink"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Atbalsts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5FAB5" w14:textId="7F090644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0" w:history="1">
            <w:r w:rsidRPr="007E37AA">
              <w:rPr>
                <w:rStyle w:val="Hyperlink"/>
                <w:noProof/>
              </w:rPr>
              <w:t>2.8.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Kompetence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FE8AB" w14:textId="24354366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1" w:history="1">
            <w:r w:rsidRPr="007E37AA">
              <w:rPr>
                <w:rStyle w:val="Hyperlink"/>
                <w:noProof/>
              </w:rPr>
              <w:t>2.9.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Informētība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DA5B6" w14:textId="71E37689" w:rsidR="00616F6D" w:rsidRDefault="00616F6D">
          <w:pPr>
            <w:pStyle w:val="TOC2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2" w:history="1">
            <w:r w:rsidRPr="007E37AA">
              <w:rPr>
                <w:rStyle w:val="Hyperlink"/>
                <w:noProof/>
              </w:rPr>
              <w:t>2.10.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Komunikācija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B1CCC" w14:textId="7E98C922" w:rsidR="00616F6D" w:rsidRDefault="00616F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3" w:history="1">
            <w:r w:rsidRPr="007E37AA">
              <w:rPr>
                <w:rStyle w:val="Hyperlink"/>
                <w:noProof/>
              </w:rPr>
              <w:t>3. RISKU PĀRVALDĪBA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C843F" w14:textId="03819111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4" w:history="1">
            <w:r w:rsidRPr="007E37AA"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Riska novērtēšana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A18F6" w14:textId="0CDB35AA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5" w:history="1">
            <w:r w:rsidRPr="007E37AA">
              <w:rPr>
                <w:rStyle w:val="Hyperlink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Riska apstrāde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C786C" w14:textId="0E44F8C8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6" w:history="1">
            <w:r w:rsidRPr="007E37AA">
              <w:rPr>
                <w:rStyle w:val="Hyperlink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Informācijas drošības mērķi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4B17B" w14:textId="5E5D5512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7" w:history="1">
            <w:r w:rsidRPr="007E37AA">
              <w:rPr>
                <w:rStyle w:val="Hyperlink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Aizsardzība pret riskiem un apdraudējumiem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9AB68" w14:textId="32A02141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8" w:history="1">
            <w:r w:rsidRPr="007E37AA">
              <w:rPr>
                <w:rStyle w:val="Hyperlink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Nepārtrauktības un incidentu reaģēšanas plāni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161AB" w14:textId="2B99AE49" w:rsidR="00616F6D" w:rsidRDefault="00616F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89" w:history="1">
            <w:r w:rsidRPr="007E37AA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KONTROLES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C8907" w14:textId="0F8189E5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0" w:history="1">
            <w:r w:rsidRPr="007E37AA">
              <w:rPr>
                <w:rStyle w:val="Hyperlink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Politika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1BC51" w14:textId="60478C79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1" w:history="1">
            <w:r w:rsidRPr="007E37AA">
              <w:rPr>
                <w:rStyle w:val="Hyperlink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Fiziskā drošība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24320" w14:textId="6B5E284F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2" w:history="1">
            <w:r w:rsidRPr="007E37AA">
              <w:rPr>
                <w:rStyle w:val="Hyperlink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Personāla drošība un identitātes pārvaldība (IAM)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5D1FA" w14:textId="6306BD0B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3" w:history="1">
            <w:r w:rsidRPr="007E37AA">
              <w:rPr>
                <w:rStyle w:val="Hyperlink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Apmācība un informētība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55C3B" w14:textId="56AF1624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4" w:history="1">
            <w:r w:rsidRPr="007E37AA">
              <w:rPr>
                <w:rStyle w:val="Hyperlink"/>
                <w:noProof/>
              </w:rPr>
              <w:t>4.5.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Tīkla un darba staciju drošība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01961" w14:textId="417A7AE4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5" w:history="1">
            <w:r w:rsidRPr="007E37AA">
              <w:rPr>
                <w:rStyle w:val="Hyperlink"/>
                <w:noProof/>
              </w:rPr>
              <w:t>4.6.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Piekļuves kontrole, šifrēšana un atjauninājumi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A5ED5" w14:textId="6A58E0CC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6" w:history="1">
            <w:r w:rsidRPr="007E37AA">
              <w:rPr>
                <w:rStyle w:val="Hyperlink"/>
                <w:noProof/>
              </w:rPr>
              <w:t>4.7.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Programmatūras izstrādes drošība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4B485" w14:textId="62FD5D3C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7" w:history="1">
            <w:r w:rsidRPr="007E37AA">
              <w:rPr>
                <w:rStyle w:val="Hyperlink"/>
                <w:noProof/>
              </w:rPr>
              <w:t>4.8.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Konfigurāciju pārvaldība un privileģētā piekļuve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E336D" w14:textId="2C91A8CA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8" w:history="1">
            <w:r w:rsidRPr="007E37AA">
              <w:rPr>
                <w:rStyle w:val="Hyperlink"/>
                <w:noProof/>
              </w:rPr>
              <w:t>4.9.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Kaitīgā programmatūra (</w:t>
            </w:r>
            <w:r w:rsidRPr="007E37AA">
              <w:rPr>
                <w:rStyle w:val="Hyperlink"/>
                <w:i/>
                <w:iCs/>
                <w:noProof/>
              </w:rPr>
              <w:t>Malware</w:t>
            </w:r>
            <w:r w:rsidRPr="007E37AA">
              <w:rPr>
                <w:rStyle w:val="Hyperlink"/>
                <w:noProof/>
              </w:rPr>
              <w:t>) un aizsardzība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7AB20" w14:textId="633E46E2" w:rsidR="00616F6D" w:rsidRDefault="00616F6D">
          <w:pPr>
            <w:pStyle w:val="TOC2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899" w:history="1">
            <w:r w:rsidRPr="007E37AA">
              <w:rPr>
                <w:rStyle w:val="Hyperlink"/>
                <w:noProof/>
              </w:rPr>
              <w:t>4.10.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Ārpakalpojumu pārvaldība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CABE3" w14:textId="707C90F5" w:rsidR="00616F6D" w:rsidRDefault="00616F6D">
          <w:pPr>
            <w:pStyle w:val="TOC2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0" w:history="1">
            <w:r w:rsidRPr="007E37AA">
              <w:rPr>
                <w:rStyle w:val="Hyperlink"/>
                <w:noProof/>
              </w:rPr>
              <w:t>4.11.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Uzraudzība, žurnālfaili un auditi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B0552" w14:textId="142F6673" w:rsidR="00616F6D" w:rsidRDefault="00616F6D">
          <w:pPr>
            <w:pStyle w:val="TOC2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1" w:history="1">
            <w:r w:rsidRPr="007E37AA">
              <w:rPr>
                <w:rStyle w:val="Hyperlink"/>
                <w:noProof/>
              </w:rPr>
              <w:t>4.12.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Datu rezerves kopēšana un atjaunošana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7FD2C" w14:textId="48BA2FE4" w:rsidR="00616F6D" w:rsidRDefault="00616F6D">
          <w:pPr>
            <w:pStyle w:val="TOC2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2" w:history="1">
            <w:r w:rsidRPr="007E37AA">
              <w:rPr>
                <w:rStyle w:val="Hyperlink"/>
                <w:noProof/>
              </w:rPr>
              <w:t>4.13.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Iznīcināšana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8476A" w14:textId="2D67D383" w:rsidR="00616F6D" w:rsidRDefault="00616F6D">
          <w:pPr>
            <w:pStyle w:val="TOC2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3" w:history="1">
            <w:r w:rsidRPr="007E37AA">
              <w:rPr>
                <w:rStyle w:val="Hyperlink"/>
                <w:noProof/>
              </w:rPr>
              <w:t>4.14.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Uzlabošana un korektīvās darbības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8A3D1" w14:textId="09962FDE" w:rsidR="00616F6D" w:rsidRDefault="00616F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4" w:history="1">
            <w:r w:rsidRPr="007E37AA">
              <w:rPr>
                <w:rStyle w:val="Hyperlink"/>
                <w:rFonts w:eastAsia="Times New Roman"/>
                <w:noProof/>
                <w:lang w:eastAsia="en-US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rFonts w:eastAsia="Times New Roman"/>
                <w:noProof/>
                <w:lang w:eastAsia="en-US"/>
              </w:rPr>
              <w:t>INCIDENTU PĀRVALDĪBA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181DD" w14:textId="635E0BF9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5" w:history="1">
            <w:r w:rsidRPr="007E37AA">
              <w:rPr>
                <w:rStyle w:val="Hyperlink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ATBILDĪBAS SADALĪJUMS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FB535" w14:textId="47DC39C3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6" w:history="1">
            <w:r w:rsidRPr="007E37AA">
              <w:rPr>
                <w:rStyle w:val="Hyperlink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Sadarbība ar iekšējām un ārējām pusēm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77564" w14:textId="4F6E859F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7" w:history="1">
            <w:r w:rsidRPr="007E37AA">
              <w:rPr>
                <w:rStyle w:val="Hyperlink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Darbības pēc incidenta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F4D93" w14:textId="6667083E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8" w:history="1">
            <w:r w:rsidRPr="007E37AA">
              <w:rPr>
                <w:rStyle w:val="Hyperlink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Uzraudzība un nepārtraukta uzlabošana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FEED8" w14:textId="4FD780DB" w:rsidR="00616F6D" w:rsidRDefault="00616F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09" w:history="1">
            <w:r w:rsidRPr="007E37AA">
              <w:rPr>
                <w:rStyle w:val="Hyperlink"/>
                <w:rFonts w:eastAsia="Times New Roman"/>
                <w:noProof/>
                <w:lang w:eastAsia="en-US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rFonts w:eastAsia="Times New Roman"/>
                <w:noProof/>
                <w:lang w:eastAsia="en-US"/>
              </w:rPr>
              <w:t>ATBILSTĪBAS PĀRBAUDE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ACAC9" w14:textId="1304D2F1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0" w:history="1">
            <w:r w:rsidRPr="007E37AA">
              <w:rPr>
                <w:rStyle w:val="Hyperlink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Atbilstība normatīvajiem aktiem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22D4D" w14:textId="03048E63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1" w:history="1">
            <w:r w:rsidRPr="007E37AA">
              <w:rPr>
                <w:rStyle w:val="Hyperlink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Atbilstība drošības prasībām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0CA3A" w14:textId="7E2DBA6D" w:rsidR="00616F6D" w:rsidRDefault="00616F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2" w:history="1">
            <w:r w:rsidRPr="007E37AA">
              <w:rPr>
                <w:rStyle w:val="Hyperlink"/>
                <w:rFonts w:eastAsia="Times New Roman"/>
                <w:noProof/>
                <w:lang w:eastAsia="en-US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rFonts w:eastAsia="Times New Roman"/>
                <w:noProof/>
                <w:lang w:eastAsia="en-US"/>
              </w:rPr>
              <w:t>PLĀNOŠANA UN PĀRSKATĪŠANAS PASĀKUMI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AD216" w14:textId="45666838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3" w:history="1">
            <w:r w:rsidRPr="007E37AA">
              <w:rPr>
                <w:rStyle w:val="Hyperlink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Informācijas drošības integrācija organizācijas procesos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A669E" w14:textId="105D6D71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4" w:history="1">
            <w:r w:rsidRPr="007E37AA">
              <w:rPr>
                <w:rStyle w:val="Hyperlink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Riska apstrādes pasākumu īstenošana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F7FF6" w14:textId="7A17D4E4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5" w:history="1">
            <w:r w:rsidRPr="007E37AA">
              <w:rPr>
                <w:rStyle w:val="Hyperlink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Izmaiņu un konfigurācijas vadība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CBB90" w14:textId="4CEB09FA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6" w:history="1">
            <w:r w:rsidRPr="007E37AA">
              <w:rPr>
                <w:rStyle w:val="Hyperlink"/>
                <w:noProof/>
              </w:rPr>
              <w:t>7.4.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Kontroļu monitorings un izvērtēšana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449D2" w14:textId="645D6913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7" w:history="1">
            <w:r w:rsidRPr="007E37AA">
              <w:rPr>
                <w:rStyle w:val="Hyperlink"/>
                <w:noProof/>
              </w:rPr>
              <w:t>7.5.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Iekšējais audits un pašvērtējums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0D435" w14:textId="1CA6413C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8" w:history="1">
            <w:r w:rsidRPr="007E37AA">
              <w:rPr>
                <w:rStyle w:val="Hyperlink"/>
                <w:noProof/>
              </w:rPr>
              <w:t>7.6.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Pārvaldības pārskatīšana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9C3B5" w14:textId="5BBD545F" w:rsidR="00616F6D" w:rsidRDefault="00616F6D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919" w:history="1">
            <w:r w:rsidRPr="007E37AA">
              <w:rPr>
                <w:rStyle w:val="Hyperlink"/>
                <w:noProof/>
              </w:rPr>
              <w:t>7.7.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37AA">
              <w:rPr>
                <w:rStyle w:val="Hyperlink"/>
                <w:noProof/>
              </w:rPr>
              <w:t>Politikas, procedūras un kontroles veidi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5E310" w14:textId="0AF5B10D" w:rsidR="00E35162" w:rsidRPr="00A72DEE" w:rsidRDefault="00E35162" w:rsidP="00246DE5">
          <w:pPr>
            <w:spacing w:after="120" w:line="240" w:lineRule="auto"/>
            <w:mirrorIndents/>
          </w:pPr>
          <w:r w:rsidRPr="00A72DEE">
            <w:rPr>
              <w:b/>
              <w:bCs/>
              <w:noProof/>
            </w:rPr>
            <w:fldChar w:fldCharType="end"/>
          </w:r>
        </w:p>
      </w:sdtContent>
    </w:sdt>
    <w:p w14:paraId="3E51CAD5" w14:textId="77777777" w:rsidR="00FD08E0" w:rsidRDefault="00FD08E0" w:rsidP="00246DE5">
      <w:pPr>
        <w:spacing w:after="120" w:line="240" w:lineRule="auto"/>
        <w:mirrorIndents/>
        <w:jc w:val="center"/>
        <w:rPr>
          <w:b/>
          <w:bCs/>
        </w:rPr>
        <w:sectPr w:rsidR="00FD08E0" w:rsidSect="00FD08E0">
          <w:headerReference w:type="default" r:id="rId10"/>
          <w:type w:val="continuous"/>
          <w:pgSz w:w="11906" w:h="16838"/>
          <w:pgMar w:top="1134" w:right="1134" w:bottom="1134" w:left="1701" w:header="454" w:footer="454" w:gutter="0"/>
          <w:cols w:space="708"/>
          <w:docGrid w:linePitch="360"/>
        </w:sectPr>
      </w:pPr>
    </w:p>
    <w:p w14:paraId="3E824739" w14:textId="77777777" w:rsidR="00292BC6" w:rsidRPr="00A72DEE" w:rsidRDefault="00292BC6" w:rsidP="00246DE5">
      <w:pPr>
        <w:spacing w:after="120" w:line="240" w:lineRule="auto"/>
        <w:mirrorIndents/>
        <w:jc w:val="center"/>
        <w:rPr>
          <w:b/>
          <w:bCs/>
        </w:rPr>
        <w:sectPr w:rsidR="00292BC6" w:rsidRPr="00A72DEE" w:rsidSect="00FD08E0">
          <w:pgSz w:w="11906" w:h="16838"/>
          <w:pgMar w:top="1134" w:right="1134" w:bottom="1134" w:left="1701" w:header="454" w:footer="454" w:gutter="0"/>
          <w:cols w:space="708"/>
          <w:docGrid w:linePitch="360"/>
        </w:sectPr>
      </w:pPr>
    </w:p>
    <w:p w14:paraId="398CEE5E" w14:textId="517C0497" w:rsidR="00292BC6" w:rsidRPr="00A72DEE" w:rsidRDefault="00B57DC8">
      <w:pPr>
        <w:pStyle w:val="Heading1"/>
        <w:numPr>
          <w:ilvl w:val="0"/>
          <w:numId w:val="3"/>
        </w:numPr>
      </w:pPr>
      <w:bookmarkStart w:id="0" w:name="_Toc204681867"/>
      <w:r w:rsidRPr="00A72DEE">
        <w:t>VISPĀRĪGĀ INFORMĀCIJA</w:t>
      </w:r>
      <w:bookmarkEnd w:id="0"/>
      <w:r w:rsidR="0074731D">
        <w:t xml:space="preserve"> </w:t>
      </w:r>
    </w:p>
    <w:p w14:paraId="4E7190BD" w14:textId="0ADBFDE8" w:rsidR="00416188" w:rsidRDefault="00416188" w:rsidP="00124754">
      <w:pPr>
        <w:spacing w:after="120" w:line="240" w:lineRule="auto"/>
        <w:mirrorIndents/>
      </w:pPr>
      <w:r w:rsidRPr="00A72DEE">
        <w:rPr>
          <w:b/>
          <w:bCs/>
        </w:rPr>
        <w:t>Mērķis:</w:t>
      </w:r>
      <w:r w:rsidRPr="00A72DEE">
        <w:t xml:space="preserve"> </w:t>
      </w:r>
      <w:r w:rsidR="000B6DC4">
        <w:t>š</w:t>
      </w:r>
      <w:r w:rsidR="000B6DC4" w:rsidRPr="000B6DC4">
        <w:t xml:space="preserve">ī politika definē organizācijas vispārējo pieeju </w:t>
      </w:r>
      <w:proofErr w:type="spellStart"/>
      <w:r w:rsidR="000B6DC4" w:rsidRPr="000B6DC4">
        <w:t>kiberdrošības</w:t>
      </w:r>
      <w:proofErr w:type="spellEnd"/>
      <w:r w:rsidR="000B6DC4" w:rsidRPr="000B6DC4">
        <w:t xml:space="preserve"> pārvaldībai un kalpo kā pamats iekšējai drošības kontrolei, riska pārvaldībai un atbilstības nodrošināšanai. Tā palīdz strukturēti veikt ikgadējo </w:t>
      </w:r>
      <w:r w:rsidR="000B6DC4" w:rsidRPr="000B6DC4">
        <w:rPr>
          <w:b/>
          <w:bCs/>
        </w:rPr>
        <w:t>pašvērtējumu</w:t>
      </w:r>
      <w:r w:rsidR="000B6DC4" w:rsidRPr="000B6DC4">
        <w:t xml:space="preserve">, kā arī sagatavoties </w:t>
      </w:r>
      <w:r w:rsidR="000B6DC4" w:rsidRPr="000B6DC4">
        <w:rPr>
          <w:b/>
          <w:bCs/>
        </w:rPr>
        <w:t>iekšējiem vai ārējiem auditiem</w:t>
      </w:r>
      <w:r w:rsidR="000B6DC4" w:rsidRPr="000B6DC4">
        <w:t>.</w:t>
      </w:r>
    </w:p>
    <w:p w14:paraId="59F5BEE4" w14:textId="77777777" w:rsidR="000B6DC4" w:rsidRPr="000B6DC4" w:rsidRDefault="000B6DC4" w:rsidP="00124754">
      <w:pPr>
        <w:spacing w:after="120" w:line="240" w:lineRule="auto"/>
        <w:mirrorIndents/>
      </w:pPr>
      <w:r w:rsidRPr="000B6DC4">
        <w:t>Politika ietver:</w:t>
      </w:r>
    </w:p>
    <w:p w14:paraId="43A91C47" w14:textId="77777777" w:rsidR="000B6DC4" w:rsidRPr="000B6DC4" w:rsidRDefault="000B6DC4" w:rsidP="00124754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357"/>
        <w:mirrorIndents/>
      </w:pPr>
      <w:r w:rsidRPr="000B6DC4">
        <w:t xml:space="preserve">organizācijas </w:t>
      </w:r>
      <w:proofErr w:type="spellStart"/>
      <w:r w:rsidRPr="000B6DC4">
        <w:t>kiberdrošības</w:t>
      </w:r>
      <w:proofErr w:type="spellEnd"/>
      <w:r w:rsidRPr="000B6DC4">
        <w:t xml:space="preserve"> mērķus un pamatprincipus;</w:t>
      </w:r>
    </w:p>
    <w:p w14:paraId="49AE9567" w14:textId="77777777" w:rsidR="000B6DC4" w:rsidRPr="000B6DC4" w:rsidRDefault="000B6DC4" w:rsidP="00124754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357"/>
        <w:mirrorIndents/>
      </w:pPr>
      <w:r w:rsidRPr="000B6DC4">
        <w:t xml:space="preserve">lomu un atbildību sadalījumu </w:t>
      </w:r>
      <w:proofErr w:type="spellStart"/>
      <w:r w:rsidRPr="000B6DC4">
        <w:t>kiberdrošības</w:t>
      </w:r>
      <w:proofErr w:type="spellEnd"/>
      <w:r w:rsidRPr="000B6DC4">
        <w:t xml:space="preserve"> pārvaldībā;</w:t>
      </w:r>
    </w:p>
    <w:p w14:paraId="49A66071" w14:textId="296977BC" w:rsidR="000B6DC4" w:rsidRPr="000B6DC4" w:rsidRDefault="000B6DC4" w:rsidP="00124754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357"/>
        <w:mirrorIndents/>
      </w:pPr>
      <w:r w:rsidRPr="000B6DC4">
        <w:t xml:space="preserve">apņemšanos ievērot drošības prasības, kas izriet no normatīvajiem aktiem, tostarp Nacionālā </w:t>
      </w:r>
      <w:proofErr w:type="spellStart"/>
      <w:r w:rsidRPr="000B6DC4">
        <w:t>kiberdrošības</w:t>
      </w:r>
      <w:proofErr w:type="spellEnd"/>
      <w:r w:rsidRPr="000B6DC4">
        <w:t xml:space="preserve"> likuma</w:t>
      </w:r>
      <w:r w:rsidR="00AB2A8B">
        <w:t xml:space="preserve"> un uz tā pamata izdotajiem Ministru kabineta noteikumiem</w:t>
      </w:r>
      <w:r w:rsidRPr="000B6DC4">
        <w:t>;</w:t>
      </w:r>
    </w:p>
    <w:p w14:paraId="3C18D2B1" w14:textId="4E769BE7" w:rsidR="000B6DC4" w:rsidRPr="00A72DEE" w:rsidRDefault="000B6DC4" w:rsidP="00124754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357"/>
        <w:mirrorIndents/>
      </w:pPr>
      <w:r w:rsidRPr="000B6DC4">
        <w:t>piemērošanas jomu, norādot, uz kuriem procesiem, informācijas sistēmām un resursiem tā attiecas.</w:t>
      </w:r>
    </w:p>
    <w:p w14:paraId="6496BD5B" w14:textId="43FCD785" w:rsidR="00AA1D34" w:rsidRPr="00A72DEE" w:rsidRDefault="000554E3" w:rsidP="00124754">
      <w:pPr>
        <w:pStyle w:val="Heading2"/>
        <w:numPr>
          <w:ilvl w:val="1"/>
          <w:numId w:val="3"/>
        </w:numPr>
        <w:rPr>
          <w:lang w:val="lv-LV"/>
        </w:rPr>
      </w:pPr>
      <w:r w:rsidRPr="00A72DEE">
        <w:rPr>
          <w:lang w:val="lv-LV"/>
        </w:rPr>
        <w:t xml:space="preserve"> </w:t>
      </w:r>
      <w:r w:rsidR="00F6684D" w:rsidRPr="00A72DEE">
        <w:rPr>
          <w:lang w:val="lv-LV"/>
        </w:rPr>
        <w:t xml:space="preserve"> </w:t>
      </w:r>
      <w:bookmarkStart w:id="1" w:name="_Toc204681868"/>
      <w:r w:rsidR="00AA1D34" w:rsidRPr="00A72DEE">
        <w:rPr>
          <w:lang w:val="lv-LV"/>
        </w:rPr>
        <w:t>Organizācijas konteksts</w:t>
      </w:r>
      <w:bookmarkEnd w:id="1"/>
    </w:p>
    <w:p w14:paraId="161A6A0B" w14:textId="77777777" w:rsidR="000B6DC4" w:rsidRPr="000B6DC4" w:rsidRDefault="000B6DC4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 xml:space="preserve">Organizācija regulāri identificē un izvērtē iekšējos un ārējos faktorus, kas ietekmē </w:t>
      </w:r>
      <w:proofErr w:type="spellStart"/>
      <w:r w:rsidRPr="000B6DC4">
        <w:rPr>
          <w:rFonts w:eastAsia="Times New Roman"/>
          <w:lang w:eastAsia="en-US"/>
        </w:rPr>
        <w:t>kiberdrošības</w:t>
      </w:r>
      <w:proofErr w:type="spellEnd"/>
      <w:r w:rsidRPr="000B6DC4">
        <w:rPr>
          <w:rFonts w:eastAsia="Times New Roman"/>
          <w:lang w:eastAsia="en-US"/>
        </w:rPr>
        <w:t xml:space="preserve"> mērķu sasniegšanu, tostarp:</w:t>
      </w:r>
    </w:p>
    <w:p w14:paraId="0E62D8C7" w14:textId="77777777" w:rsidR="000B6DC4" w:rsidRPr="000B6DC4" w:rsidRDefault="000B6DC4" w:rsidP="00124754">
      <w:pPr>
        <w:widowControl/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tehnoloģiju attīstību un mainīgās apdraudējuma vides;</w:t>
      </w:r>
    </w:p>
    <w:p w14:paraId="0123074A" w14:textId="77777777" w:rsidR="000B6DC4" w:rsidRPr="000B6DC4" w:rsidRDefault="000B6DC4" w:rsidP="00124754">
      <w:pPr>
        <w:widowControl/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normatīvās prasības un izmaiņas regulējumā;</w:t>
      </w:r>
    </w:p>
    <w:p w14:paraId="37DB4FD1" w14:textId="77777777" w:rsidR="000B6DC4" w:rsidRPr="000B6DC4" w:rsidRDefault="000B6DC4" w:rsidP="00124754">
      <w:pPr>
        <w:widowControl/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piegādes ķēdes riskus un partneru ietekmi;</w:t>
      </w:r>
    </w:p>
    <w:p w14:paraId="7391C5AA" w14:textId="77777777" w:rsidR="000B6DC4" w:rsidRPr="000B6DC4" w:rsidRDefault="000B6DC4" w:rsidP="00124754">
      <w:pPr>
        <w:widowControl/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567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organizatoriskās izmaiņas un struktūru.</w:t>
      </w:r>
    </w:p>
    <w:p w14:paraId="7F155643" w14:textId="30E122C1" w:rsidR="00AA1D34" w:rsidRPr="00A72DEE" w:rsidRDefault="00F6684D" w:rsidP="00124754">
      <w:pPr>
        <w:pStyle w:val="Heading2"/>
        <w:numPr>
          <w:ilvl w:val="1"/>
          <w:numId w:val="3"/>
        </w:numPr>
        <w:rPr>
          <w:lang w:val="lv-LV"/>
        </w:rPr>
      </w:pPr>
      <w:r w:rsidRPr="00A72DEE">
        <w:rPr>
          <w:lang w:val="lv-LV"/>
        </w:rPr>
        <w:t xml:space="preserve"> </w:t>
      </w:r>
      <w:bookmarkStart w:id="2" w:name="_Toc204681869"/>
      <w:r w:rsidR="00AA1D34" w:rsidRPr="00A72DEE">
        <w:rPr>
          <w:lang w:val="lv-LV"/>
        </w:rPr>
        <w:t>Ieinteresēto pušu identificēšana</w:t>
      </w:r>
      <w:bookmarkEnd w:id="2"/>
    </w:p>
    <w:p w14:paraId="42F21AC9" w14:textId="77777777" w:rsidR="000B6DC4" w:rsidRPr="000B6DC4" w:rsidRDefault="000B6DC4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Organizācija identificē ieinteresētās puses, kuru vajadzības un prasības attiecas uz informācijas drošību (konfidencialitāti, integritāti, pieejamību). Tās var būt:</w:t>
      </w:r>
    </w:p>
    <w:p w14:paraId="5CFA58E0" w14:textId="77777777" w:rsidR="000B6DC4" w:rsidRPr="000B6DC4" w:rsidRDefault="000B6DC4" w:rsidP="00124754">
      <w:pPr>
        <w:widowControl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klienti, darbinieki, partneri;</w:t>
      </w:r>
    </w:p>
    <w:p w14:paraId="0B306AA3" w14:textId="77777777" w:rsidR="000B6DC4" w:rsidRPr="000B6DC4" w:rsidRDefault="000B6DC4" w:rsidP="00124754">
      <w:pPr>
        <w:widowControl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valsts iestādes, auditori;</w:t>
      </w:r>
    </w:p>
    <w:p w14:paraId="5B7799D9" w14:textId="0E650818" w:rsidR="000B6DC4" w:rsidRDefault="000B6DC4" w:rsidP="00124754">
      <w:pPr>
        <w:widowControl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ārpakalpojumu sniedzēji.</w:t>
      </w:r>
    </w:p>
    <w:p w14:paraId="54F4376A" w14:textId="2EEE3C46" w:rsidR="004B4A77" w:rsidRPr="000B6DC4" w:rsidRDefault="004B4A77" w:rsidP="00124754">
      <w:pPr>
        <w:widowControl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…</w:t>
      </w:r>
    </w:p>
    <w:p w14:paraId="32B7CEC4" w14:textId="7A693347" w:rsidR="00AA1D34" w:rsidRPr="00A72DEE" w:rsidRDefault="00F6684D" w:rsidP="00124754">
      <w:pPr>
        <w:pStyle w:val="Heading2"/>
        <w:numPr>
          <w:ilvl w:val="1"/>
          <w:numId w:val="3"/>
        </w:numPr>
        <w:rPr>
          <w:lang w:val="lv-LV"/>
        </w:rPr>
      </w:pPr>
      <w:r w:rsidRPr="00A72DEE">
        <w:rPr>
          <w:lang w:val="lv-LV"/>
        </w:rPr>
        <w:t xml:space="preserve"> </w:t>
      </w:r>
      <w:bookmarkStart w:id="3" w:name="_Toc204681870"/>
      <w:r w:rsidR="00AA1D34" w:rsidRPr="00A72DEE">
        <w:rPr>
          <w:lang w:val="lv-LV"/>
        </w:rPr>
        <w:t>Atbilstība nacionālajiem normatīvajiem aktiem</w:t>
      </w:r>
      <w:bookmarkEnd w:id="3"/>
    </w:p>
    <w:p w14:paraId="7F7190B6" w14:textId="1ED031FB" w:rsidR="000B6DC4" w:rsidRPr="00A72DEE" w:rsidRDefault="000B6DC4" w:rsidP="00124754">
      <w:pPr>
        <w:pStyle w:val="ListParagraph"/>
        <w:spacing w:after="0" w:line="240" w:lineRule="auto"/>
        <w:ind w:left="714"/>
        <w:contextualSpacing w:val="0"/>
        <w:mirrorIndents/>
      </w:pPr>
      <w:r w:rsidRPr="000B6DC4">
        <w:t xml:space="preserve">Tiek izvērtēts, vai organizācija atbilst </w:t>
      </w:r>
      <w:proofErr w:type="spellStart"/>
      <w:r w:rsidRPr="000B6DC4">
        <w:t>Kiberdrošības</w:t>
      </w:r>
      <w:proofErr w:type="spellEnd"/>
      <w:r w:rsidRPr="000B6DC4">
        <w:t xml:space="preserve"> likuma un MK noteikumu subjektu definīcijām, tai skaitā vai tā ir Nacionālajai drošībai svarīg</w:t>
      </w:r>
      <w:r w:rsidR="00AB2A8B">
        <w:t>s</w:t>
      </w:r>
      <w:r w:rsidRPr="000B6DC4">
        <w:t xml:space="preserve"> pakalpojumu sniedzēj</w:t>
      </w:r>
      <w:r w:rsidR="00AB2A8B">
        <w:t>s</w:t>
      </w:r>
      <w:r w:rsidRPr="000B6DC4">
        <w:t>. Pamatojums tiek dokumentēts un periodiski pārskatīts.</w:t>
      </w:r>
    </w:p>
    <w:p w14:paraId="38DE5416" w14:textId="75954446" w:rsidR="00AA1D34" w:rsidRPr="00A72DEE" w:rsidRDefault="00F6684D" w:rsidP="00124754">
      <w:pPr>
        <w:pStyle w:val="Heading2"/>
        <w:numPr>
          <w:ilvl w:val="1"/>
          <w:numId w:val="3"/>
        </w:numPr>
        <w:rPr>
          <w:lang w:val="lv-LV"/>
        </w:rPr>
      </w:pPr>
      <w:r w:rsidRPr="00A72DEE">
        <w:rPr>
          <w:lang w:val="lv-LV"/>
        </w:rPr>
        <w:t xml:space="preserve"> </w:t>
      </w:r>
      <w:bookmarkStart w:id="4" w:name="_Toc204681871"/>
      <w:r w:rsidR="00AA1D34" w:rsidRPr="00A72DEE">
        <w:rPr>
          <w:lang w:val="lv-LV"/>
        </w:rPr>
        <w:t>Jomai specifiskās prasības</w:t>
      </w:r>
      <w:bookmarkEnd w:id="4"/>
    </w:p>
    <w:p w14:paraId="404644E7" w14:textId="77777777" w:rsidR="000B6DC4" w:rsidRPr="000B6DC4" w:rsidRDefault="000B6DC4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Papildus vispārējām drošības prasībām organizācija ievēro nozares vai pakalpojuma specifiskās prasības (piemēram, veselības, finanšu, enerģētikas sektoriem). Šīs prasības tiek:</w:t>
      </w:r>
    </w:p>
    <w:p w14:paraId="62CE2204" w14:textId="77777777" w:rsidR="000B6DC4" w:rsidRPr="000B6DC4" w:rsidRDefault="000B6DC4" w:rsidP="00124754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dokumentētas un integrētas informācijas drošības vadībā;</w:t>
      </w:r>
    </w:p>
    <w:p w14:paraId="18FBD3F7" w14:textId="77777777" w:rsidR="000B6DC4" w:rsidRPr="000B6DC4" w:rsidRDefault="000B6DC4" w:rsidP="00124754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0B6DC4">
        <w:rPr>
          <w:rFonts w:eastAsia="Times New Roman"/>
          <w:lang w:eastAsia="en-US"/>
        </w:rPr>
        <w:t>pārskatītas riska izvērtēšanas gaitā.</w:t>
      </w:r>
    </w:p>
    <w:p w14:paraId="7EFF24CF" w14:textId="7CE17E05" w:rsidR="0042229B" w:rsidRPr="00A72DEE" w:rsidRDefault="006554B5" w:rsidP="00064C21">
      <w:pPr>
        <w:pStyle w:val="Heading1"/>
      </w:pPr>
      <w:bookmarkStart w:id="5" w:name="_Toc204681872"/>
      <w:r w:rsidRPr="00A72DEE">
        <w:lastRenderedPageBreak/>
        <w:t xml:space="preserve">2. </w:t>
      </w:r>
      <w:r w:rsidR="00907C02" w:rsidRPr="00A72DEE">
        <w:t>INFORMĀCIJAS SISTĒMAS  PĀRVALDĪBA</w:t>
      </w:r>
      <w:bookmarkEnd w:id="5"/>
      <w:r w:rsidR="0074731D">
        <w:t xml:space="preserve"> </w:t>
      </w:r>
    </w:p>
    <w:p w14:paraId="150F66C4" w14:textId="1C2FCC0E" w:rsidR="00532451" w:rsidRPr="00A72DEE" w:rsidRDefault="007B78BF">
      <w:pPr>
        <w:pStyle w:val="Heading2"/>
        <w:numPr>
          <w:ilvl w:val="1"/>
          <w:numId w:val="1"/>
        </w:numPr>
        <w:rPr>
          <w:lang w:val="lv-LV"/>
        </w:rPr>
      </w:pPr>
      <w:r w:rsidRPr="00A72DEE">
        <w:rPr>
          <w:lang w:val="lv-LV"/>
        </w:rPr>
        <w:t xml:space="preserve"> </w:t>
      </w:r>
      <w:bookmarkStart w:id="6" w:name="_Toc204681873"/>
      <w:r w:rsidR="006554B5" w:rsidRPr="00A72DEE">
        <w:rPr>
          <w:lang w:val="lv-LV"/>
        </w:rPr>
        <w:t>Pārvald</w:t>
      </w:r>
      <w:r w:rsidR="002C0B88" w:rsidRPr="00A72DEE">
        <w:rPr>
          <w:lang w:val="lv-LV"/>
        </w:rPr>
        <w:t>ības</w:t>
      </w:r>
      <w:r w:rsidR="00532451" w:rsidRPr="00A72DEE">
        <w:rPr>
          <w:lang w:val="lv-LV"/>
        </w:rPr>
        <w:t xml:space="preserve"> apņemšanās</w:t>
      </w:r>
      <w:bookmarkEnd w:id="6"/>
    </w:p>
    <w:p w14:paraId="5B0868AB" w14:textId="341A229B" w:rsidR="00D31051" w:rsidRPr="00A72DEE" w:rsidRDefault="0063771F" w:rsidP="000B6DC4">
      <w:r>
        <w:t>Informācija par to kā o</w:t>
      </w:r>
      <w:r w:rsidR="00532451" w:rsidRPr="00A72DEE">
        <w:t xml:space="preserve">rganizācijas vadība </w:t>
      </w:r>
      <w:r w:rsidR="00991088">
        <w:t>apņemas nodrošināt</w:t>
      </w:r>
      <w:r w:rsidR="00532451" w:rsidRPr="00A72DEE">
        <w:t xml:space="preserve"> informācijas drošīb</w:t>
      </w:r>
      <w:r w:rsidR="00CB4EE7">
        <w:t>u.</w:t>
      </w:r>
      <w:r w:rsidR="00532451" w:rsidRPr="00A72DEE">
        <w:t xml:space="preserve"> </w:t>
      </w:r>
      <w:r w:rsidR="000B6DC4" w:rsidRPr="000B6DC4">
        <w:t>Organizācijas vadība nodrošina informācijas drošības pārvaldību, integrējot drošības mērķus stratēģijā un piešķirot nepieciešamos resursus. Vadība iesaistās drošības plānošanā, uzraudzībā un izvērtēšanā.</w:t>
      </w:r>
    </w:p>
    <w:p w14:paraId="451958B3" w14:textId="7E45048D" w:rsidR="00532451" w:rsidRPr="00A72DEE" w:rsidRDefault="002C0B88">
      <w:pPr>
        <w:pStyle w:val="Heading2"/>
        <w:numPr>
          <w:ilvl w:val="1"/>
          <w:numId w:val="1"/>
        </w:numPr>
        <w:rPr>
          <w:lang w:val="lv-LV"/>
        </w:rPr>
      </w:pPr>
      <w:r w:rsidRPr="00A72DEE">
        <w:rPr>
          <w:lang w:val="lv-LV"/>
        </w:rPr>
        <w:t xml:space="preserve"> </w:t>
      </w:r>
      <w:bookmarkStart w:id="7" w:name="_Toc204681874"/>
      <w:r w:rsidR="006D7A6D">
        <w:rPr>
          <w:lang w:val="lv-LV"/>
        </w:rPr>
        <w:t>Organizācijas</w:t>
      </w:r>
      <w:r w:rsidR="006D7A6D" w:rsidRPr="00A72DEE">
        <w:rPr>
          <w:lang w:val="lv-LV"/>
        </w:rPr>
        <w:t xml:space="preserve"> </w:t>
      </w:r>
      <w:r w:rsidR="00532451" w:rsidRPr="00A72DEE">
        <w:rPr>
          <w:lang w:val="lv-LV"/>
        </w:rPr>
        <w:t>drošības politika</w:t>
      </w:r>
      <w:bookmarkEnd w:id="7"/>
    </w:p>
    <w:p w14:paraId="2565E01E" w14:textId="5B189B01" w:rsidR="000B6DC4" w:rsidRPr="000B6DC4" w:rsidRDefault="0063771F" w:rsidP="000B6DC4">
      <w:pPr>
        <w:spacing w:after="120"/>
        <w:mirrorIndents/>
      </w:pPr>
      <w:r>
        <w:t xml:space="preserve">Informācija par to kā </w:t>
      </w:r>
      <w:r w:rsidR="00CB4EE7">
        <w:t>o</w:t>
      </w:r>
      <w:r w:rsidR="00532451" w:rsidRPr="00A72DEE">
        <w:t xml:space="preserve">rganizācijā ir izstrādāta, ieviesta un tiek regulāri uzturēta visaptveroša </w:t>
      </w:r>
      <w:r w:rsidR="005E3A86">
        <w:t>informācijas drošības politika</w:t>
      </w:r>
      <w:r w:rsidR="000B6DC4" w:rsidRPr="000B6DC4">
        <w:t>, kas nosaka:</w:t>
      </w:r>
    </w:p>
    <w:p w14:paraId="5053B391" w14:textId="77777777" w:rsidR="000B6DC4" w:rsidRPr="000B6DC4" w:rsidRDefault="000B6DC4">
      <w:pPr>
        <w:numPr>
          <w:ilvl w:val="0"/>
          <w:numId w:val="9"/>
        </w:numPr>
        <w:spacing w:after="0" w:line="240" w:lineRule="auto"/>
        <w:ind w:left="714" w:hanging="357"/>
        <w:mirrorIndents/>
      </w:pPr>
      <w:r w:rsidRPr="000B6DC4">
        <w:t>drošības mērķus un principus;</w:t>
      </w:r>
    </w:p>
    <w:p w14:paraId="361CA542" w14:textId="77777777" w:rsidR="000B6DC4" w:rsidRPr="000B6DC4" w:rsidRDefault="000B6DC4">
      <w:pPr>
        <w:numPr>
          <w:ilvl w:val="0"/>
          <w:numId w:val="9"/>
        </w:numPr>
        <w:spacing w:after="0" w:line="240" w:lineRule="auto"/>
        <w:ind w:left="714" w:hanging="357"/>
        <w:mirrorIndents/>
      </w:pPr>
      <w:r w:rsidRPr="000B6DC4">
        <w:t>attieksmi pret riskiem;</w:t>
      </w:r>
    </w:p>
    <w:p w14:paraId="03FC97D1" w14:textId="77777777" w:rsidR="000B6DC4" w:rsidRPr="000B6DC4" w:rsidRDefault="000B6DC4">
      <w:pPr>
        <w:numPr>
          <w:ilvl w:val="0"/>
          <w:numId w:val="9"/>
        </w:numPr>
        <w:spacing w:after="0" w:line="240" w:lineRule="auto"/>
        <w:ind w:left="714" w:hanging="357"/>
        <w:mirrorIndents/>
      </w:pPr>
      <w:r w:rsidRPr="000B6DC4">
        <w:t>atbilstību normatīvajiem aktiem;</w:t>
      </w:r>
    </w:p>
    <w:p w14:paraId="1E7FAC7C" w14:textId="69AE6587" w:rsidR="000B6DC4" w:rsidRDefault="000B6DC4" w:rsidP="00240948">
      <w:pPr>
        <w:numPr>
          <w:ilvl w:val="0"/>
          <w:numId w:val="9"/>
        </w:numPr>
        <w:spacing w:after="0" w:line="240" w:lineRule="auto"/>
        <w:ind w:left="714" w:hanging="357"/>
        <w:mirrorIndents/>
      </w:pPr>
      <w:r w:rsidRPr="000B6DC4">
        <w:t>atbildīb</w:t>
      </w:r>
      <w:r w:rsidR="005E3A86">
        <w:t>as</w:t>
      </w:r>
      <w:r w:rsidRPr="000B6DC4">
        <w:t xml:space="preserve"> sadalījumu.</w:t>
      </w:r>
    </w:p>
    <w:p w14:paraId="5E68473E" w14:textId="23099639" w:rsidR="000B6DC4" w:rsidRPr="000B6DC4" w:rsidRDefault="000B6DC4" w:rsidP="000B6DC4">
      <w:pPr>
        <w:spacing w:after="0" w:line="240" w:lineRule="auto"/>
        <w:mirrorIndents/>
      </w:pPr>
      <w:r w:rsidRPr="000B6DC4">
        <w:t>Politika tiek pārskatīta vismaz reizi gadā vai pēc būtiskām izmaiņām.</w:t>
      </w:r>
    </w:p>
    <w:p w14:paraId="22009F02" w14:textId="77777777" w:rsidR="000B6DC4" w:rsidRDefault="000B6DC4" w:rsidP="000B6DC4">
      <w:pPr>
        <w:spacing w:after="120" w:line="240" w:lineRule="auto"/>
        <w:mirrorIndents/>
      </w:pPr>
    </w:p>
    <w:p w14:paraId="1E78E6A8" w14:textId="0CE0E406" w:rsidR="00532451" w:rsidRPr="00A72DEE" w:rsidRDefault="00532451">
      <w:pPr>
        <w:pStyle w:val="Heading2"/>
        <w:numPr>
          <w:ilvl w:val="1"/>
          <w:numId w:val="1"/>
        </w:numPr>
        <w:rPr>
          <w:lang w:val="lv-LV"/>
        </w:rPr>
      </w:pPr>
      <w:bookmarkStart w:id="8" w:name="_Toc204681875"/>
      <w:r w:rsidRPr="00A72DEE">
        <w:rPr>
          <w:lang w:val="lv-LV"/>
        </w:rPr>
        <w:t>Lomas, pienākumi un atbildība</w:t>
      </w:r>
      <w:bookmarkEnd w:id="8"/>
    </w:p>
    <w:p w14:paraId="604D5DDA" w14:textId="47DF46F2" w:rsidR="00532451" w:rsidRPr="00A72DEE" w:rsidRDefault="0063771F" w:rsidP="00246DE5">
      <w:pPr>
        <w:spacing w:after="120" w:line="240" w:lineRule="auto"/>
        <w:mirrorIndents/>
      </w:pPr>
      <w:r>
        <w:t>Informācija par to kā i</w:t>
      </w:r>
      <w:r w:rsidR="00532451" w:rsidRPr="00A72DEE">
        <w:t>nformācijas drošības vadības struktūra ir skaidri definēta un dokumentēta. Katram darbiniekam, kura darbība var ietekmēt drošības līmeni, ir piešķirtas konkrētas lomas un atbildības, kas saistītas ar:</w:t>
      </w:r>
    </w:p>
    <w:p w14:paraId="5E542C0C" w14:textId="3A20160A" w:rsidR="00532451" w:rsidRPr="00A72DEE" w:rsidRDefault="007B78BF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mirrorIndents/>
      </w:pPr>
      <w:r w:rsidRPr="00A72DEE">
        <w:t>p</w:t>
      </w:r>
      <w:r w:rsidR="00532451" w:rsidRPr="00A72DEE">
        <w:t>olitikas ievērošanu;</w:t>
      </w:r>
    </w:p>
    <w:p w14:paraId="24EAECB6" w14:textId="4AB05485" w:rsidR="00532451" w:rsidRPr="00A72DEE" w:rsidRDefault="007B78BF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mirrorIndents/>
      </w:pPr>
      <w:r w:rsidRPr="00A72DEE">
        <w:t>r</w:t>
      </w:r>
      <w:r w:rsidR="00532451" w:rsidRPr="00A72DEE">
        <w:t>isku identificēšanu un ziņošanu;</w:t>
      </w:r>
    </w:p>
    <w:p w14:paraId="68CFB412" w14:textId="54CD8D6C" w:rsidR="00532451" w:rsidRPr="00A72DEE" w:rsidRDefault="007B78BF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mirrorIndents/>
      </w:pPr>
      <w:r w:rsidRPr="00A72DEE">
        <w:t>i</w:t>
      </w:r>
      <w:r w:rsidR="00532451" w:rsidRPr="00A72DEE">
        <w:t>ncidentu pārvaldību;</w:t>
      </w:r>
    </w:p>
    <w:p w14:paraId="2E64A0B2" w14:textId="4CE2E33E" w:rsidR="00532451" w:rsidRPr="00A72DEE" w:rsidRDefault="007B78BF">
      <w:pPr>
        <w:pStyle w:val="ListParagraph"/>
        <w:numPr>
          <w:ilvl w:val="0"/>
          <w:numId w:val="10"/>
        </w:numPr>
        <w:spacing w:after="120" w:line="240" w:lineRule="auto"/>
        <w:ind w:left="709"/>
        <w:contextualSpacing w:val="0"/>
        <w:mirrorIndents/>
      </w:pPr>
      <w:r w:rsidRPr="00A72DEE">
        <w:t>p</w:t>
      </w:r>
      <w:r w:rsidR="00532451" w:rsidRPr="00A72DEE">
        <w:t>iekļuves pārvaldību.</w:t>
      </w:r>
    </w:p>
    <w:p w14:paraId="65759366" w14:textId="77777777" w:rsidR="00532451" w:rsidRPr="00A72DEE" w:rsidRDefault="00532451" w:rsidP="00246DE5">
      <w:pPr>
        <w:spacing w:after="120" w:line="240" w:lineRule="auto"/>
        <w:mirrorIndents/>
      </w:pPr>
      <w:r w:rsidRPr="00A72DEE">
        <w:t>Šī informācija tiek nodota darbiniekiem, izmantojot ievadinstruktāžas, apmācības un iekšējās komunikācijas kanālus.</w:t>
      </w:r>
    </w:p>
    <w:p w14:paraId="45AF8356" w14:textId="43A82527" w:rsidR="00532451" w:rsidRPr="00124754" w:rsidRDefault="007B78BF" w:rsidP="00124754">
      <w:pPr>
        <w:pStyle w:val="Heading2"/>
        <w:numPr>
          <w:ilvl w:val="1"/>
          <w:numId w:val="1"/>
        </w:numPr>
        <w:rPr>
          <w:szCs w:val="24"/>
          <w:lang w:val="lv-LV"/>
        </w:rPr>
      </w:pPr>
      <w:r w:rsidRPr="00F80CC0">
        <w:rPr>
          <w:lang w:val="lv-LV"/>
        </w:rPr>
        <w:t xml:space="preserve"> </w:t>
      </w:r>
      <w:bookmarkStart w:id="9" w:name="_Toc204681876"/>
      <w:r w:rsidR="00532451" w:rsidRPr="00F80CC0">
        <w:rPr>
          <w:lang w:val="lv-LV"/>
        </w:rPr>
        <w:t xml:space="preserve">Pārbaudes un </w:t>
      </w:r>
      <w:r w:rsidR="00EB15B8" w:rsidRPr="00F80CC0">
        <w:rPr>
          <w:lang w:val="lv-LV"/>
        </w:rPr>
        <w:t>auditi</w:t>
      </w:r>
      <w:bookmarkEnd w:id="9"/>
    </w:p>
    <w:p w14:paraId="1ADF405F" w14:textId="77777777" w:rsidR="00F80CC0" w:rsidRPr="00124754" w:rsidRDefault="00F80CC0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Organizācijā regulāri tiek veikti informācijas drošības auditi un pārbaudes, lai:</w:t>
      </w:r>
    </w:p>
    <w:p w14:paraId="01B54233" w14:textId="472D6B17" w:rsidR="00F80CC0" w:rsidRPr="00124754" w:rsidRDefault="00F80CC0" w:rsidP="00124754">
      <w:pPr>
        <w:widowControl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novērtētu </w:t>
      </w:r>
      <w:r w:rsidR="00C80795" w:rsidRPr="00124754">
        <w:rPr>
          <w:rFonts w:eastAsia="Times New Roman"/>
          <w:lang w:eastAsia="en-US"/>
        </w:rPr>
        <w:t xml:space="preserve">iekšējās </w:t>
      </w:r>
      <w:proofErr w:type="spellStart"/>
      <w:r w:rsidR="00C80795" w:rsidRPr="00124754">
        <w:rPr>
          <w:rFonts w:eastAsia="Times New Roman"/>
          <w:lang w:eastAsia="en-US"/>
        </w:rPr>
        <w:t>drošibas</w:t>
      </w:r>
      <w:proofErr w:type="spellEnd"/>
      <w:r w:rsidR="00C80795" w:rsidRPr="00124754">
        <w:rPr>
          <w:rFonts w:eastAsia="Times New Roman"/>
          <w:lang w:eastAsia="en-US"/>
        </w:rPr>
        <w:t xml:space="preserve"> </w:t>
      </w:r>
      <w:proofErr w:type="spellStart"/>
      <w:r w:rsidR="00C80795" w:rsidRPr="00124754">
        <w:rPr>
          <w:rFonts w:eastAsia="Times New Roman"/>
          <w:lang w:eastAsia="en-US"/>
        </w:rPr>
        <w:t>kotnroļu</w:t>
      </w:r>
      <w:proofErr w:type="spellEnd"/>
      <w:r w:rsidR="00C80795" w:rsidRPr="00124754">
        <w:rPr>
          <w:rFonts w:eastAsia="Times New Roman"/>
          <w:lang w:eastAsia="en-US"/>
        </w:rPr>
        <w:t xml:space="preserve"> vidi un tās</w:t>
      </w:r>
      <w:r w:rsidRPr="00124754">
        <w:rPr>
          <w:rFonts w:eastAsia="Times New Roman"/>
          <w:lang w:eastAsia="en-US"/>
        </w:rPr>
        <w:t xml:space="preserve"> atbilstību politikām;</w:t>
      </w:r>
    </w:p>
    <w:p w14:paraId="21B94F28" w14:textId="6862E519" w:rsidR="00F80CC0" w:rsidRPr="00124754" w:rsidRDefault="00F80CC0" w:rsidP="00124754">
      <w:pPr>
        <w:widowControl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identificētu </w:t>
      </w:r>
      <w:r w:rsidR="006D7A6D" w:rsidRPr="00124754">
        <w:rPr>
          <w:rFonts w:eastAsia="Times New Roman"/>
          <w:lang w:eastAsia="en-US"/>
        </w:rPr>
        <w:t xml:space="preserve">šī </w:t>
      </w:r>
      <w:proofErr w:type="spellStart"/>
      <w:r w:rsidR="006D7A6D" w:rsidRPr="00124754">
        <w:rPr>
          <w:rFonts w:eastAsia="Times New Roman"/>
          <w:lang w:eastAsia="en-US"/>
        </w:rPr>
        <w:t>brīza</w:t>
      </w:r>
      <w:proofErr w:type="spellEnd"/>
      <w:r w:rsidR="006D7A6D" w:rsidRPr="00124754">
        <w:rPr>
          <w:rFonts w:eastAsia="Times New Roman"/>
          <w:lang w:eastAsia="en-US"/>
        </w:rPr>
        <w:t xml:space="preserve"> </w:t>
      </w:r>
      <w:proofErr w:type="spellStart"/>
      <w:r w:rsidR="006D7A6D" w:rsidRPr="00124754">
        <w:rPr>
          <w:rFonts w:eastAsia="Times New Roman"/>
          <w:lang w:eastAsia="en-US"/>
        </w:rPr>
        <w:t>kiberdrošības</w:t>
      </w:r>
      <w:proofErr w:type="spellEnd"/>
      <w:r w:rsidR="006D7A6D" w:rsidRPr="00124754">
        <w:rPr>
          <w:rFonts w:eastAsia="Times New Roman"/>
          <w:lang w:eastAsia="en-US"/>
        </w:rPr>
        <w:t xml:space="preserve"> stāvokli.</w:t>
      </w:r>
    </w:p>
    <w:p w14:paraId="5D1E86F3" w14:textId="77777777" w:rsidR="00F80CC0" w:rsidRPr="00124754" w:rsidRDefault="00F80CC0" w:rsidP="00124754">
      <w:pPr>
        <w:widowControl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plānotu uzlabojumus, balstoties uz konstatētajām neatbilstībām.</w:t>
      </w:r>
    </w:p>
    <w:p w14:paraId="772C0BD0" w14:textId="77777777" w:rsidR="00F80CC0" w:rsidRPr="00124754" w:rsidRDefault="00F80CC0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Tiek veikti gan iekšējie auditi, gan nepieciešamības gadījumā – ārējie novērtējumi. Rezultāti tiek dokumentēti un izmantoti vadības pārskatam.</w:t>
      </w:r>
    </w:p>
    <w:p w14:paraId="4714F15C" w14:textId="339CABBA" w:rsidR="00532451" w:rsidRPr="00124754" w:rsidRDefault="00532451" w:rsidP="00124754">
      <w:pPr>
        <w:pStyle w:val="Heading2"/>
        <w:numPr>
          <w:ilvl w:val="1"/>
          <w:numId w:val="1"/>
        </w:numPr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10" w:name="_Toc204681877"/>
      <w:proofErr w:type="spellStart"/>
      <w:r w:rsidRPr="00124754">
        <w:rPr>
          <w:szCs w:val="24"/>
          <w:lang w:val="lv-LV"/>
        </w:rPr>
        <w:t>Kiberdrošības</w:t>
      </w:r>
      <w:proofErr w:type="spellEnd"/>
      <w:r w:rsidRPr="00124754">
        <w:rPr>
          <w:szCs w:val="24"/>
          <w:lang w:val="lv-LV"/>
        </w:rPr>
        <w:t xml:space="preserve"> kultūra un izpratne</w:t>
      </w:r>
      <w:bookmarkEnd w:id="10"/>
    </w:p>
    <w:p w14:paraId="11358D56" w14:textId="77777777" w:rsidR="00F80CC0" w:rsidRPr="00124754" w:rsidRDefault="00F80CC0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Organizācija veido </w:t>
      </w:r>
      <w:proofErr w:type="spellStart"/>
      <w:r w:rsidRPr="00124754">
        <w:rPr>
          <w:rFonts w:eastAsia="Times New Roman"/>
          <w:lang w:eastAsia="en-US"/>
        </w:rPr>
        <w:t>kiberdrošības</w:t>
      </w:r>
      <w:proofErr w:type="spellEnd"/>
      <w:r w:rsidRPr="00124754">
        <w:rPr>
          <w:rFonts w:eastAsia="Times New Roman"/>
          <w:lang w:eastAsia="en-US"/>
        </w:rPr>
        <w:t xml:space="preserve"> kultūru, kas balstīta uz izpratni un līdzdalību, īstenojot:</w:t>
      </w:r>
    </w:p>
    <w:p w14:paraId="4E7BE572" w14:textId="40309A01" w:rsidR="00F80CC0" w:rsidRPr="00124754" w:rsidRDefault="00F80CC0" w:rsidP="00124754">
      <w:pPr>
        <w:widowControl/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709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regulāras apmācības, testus un simulācijas (piemēram, </w:t>
      </w:r>
      <w:proofErr w:type="spellStart"/>
      <w:r w:rsidRPr="00124754">
        <w:rPr>
          <w:rFonts w:eastAsia="Times New Roman"/>
          <w:lang w:eastAsia="en-US"/>
        </w:rPr>
        <w:t>pikš</w:t>
      </w:r>
      <w:r w:rsidR="005E3A86" w:rsidRPr="00124754">
        <w:rPr>
          <w:rFonts w:eastAsia="Times New Roman"/>
          <w:lang w:eastAsia="en-US"/>
        </w:rPr>
        <w:t>ķ</w:t>
      </w:r>
      <w:r w:rsidRPr="00124754">
        <w:rPr>
          <w:rFonts w:eastAsia="Times New Roman"/>
          <w:lang w:eastAsia="en-US"/>
        </w:rPr>
        <w:t>erēšanas</w:t>
      </w:r>
      <w:proofErr w:type="spellEnd"/>
      <w:r w:rsidRPr="00124754">
        <w:rPr>
          <w:rFonts w:eastAsia="Times New Roman"/>
          <w:lang w:eastAsia="en-US"/>
        </w:rPr>
        <w:t xml:space="preserve"> kampaņas);</w:t>
      </w:r>
    </w:p>
    <w:p w14:paraId="021E3204" w14:textId="77777777" w:rsidR="00F80CC0" w:rsidRPr="00124754" w:rsidRDefault="00F80CC0" w:rsidP="00124754">
      <w:pPr>
        <w:widowControl/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709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iekšējo komunikāciju un informētības materiālus;</w:t>
      </w:r>
    </w:p>
    <w:p w14:paraId="5B7170A2" w14:textId="77777777" w:rsidR="00F80CC0" w:rsidRPr="00124754" w:rsidRDefault="00F80CC0" w:rsidP="00124754">
      <w:pPr>
        <w:widowControl/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709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atbildības deleģēšanu visos organizācijas līmeņos;</w:t>
      </w:r>
    </w:p>
    <w:p w14:paraId="29FAE500" w14:textId="77777777" w:rsidR="00F80CC0" w:rsidRPr="00124754" w:rsidRDefault="00F80CC0" w:rsidP="00124754">
      <w:pPr>
        <w:widowControl/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709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izpratnes rādītāju uzraudzību un analīzi.</w:t>
      </w:r>
    </w:p>
    <w:p w14:paraId="0B00878C" w14:textId="05C9098F" w:rsidR="007F4E44" w:rsidRPr="00124754" w:rsidRDefault="007F4E44" w:rsidP="00124754">
      <w:pPr>
        <w:pStyle w:val="Heading2"/>
        <w:numPr>
          <w:ilvl w:val="1"/>
          <w:numId w:val="1"/>
        </w:numPr>
        <w:rPr>
          <w:szCs w:val="24"/>
          <w:lang w:val="lv-LV"/>
        </w:rPr>
      </w:pPr>
      <w:bookmarkStart w:id="11" w:name="_Toc204681878"/>
      <w:r w:rsidRPr="00124754">
        <w:rPr>
          <w:szCs w:val="24"/>
          <w:lang w:val="lv-LV"/>
        </w:rPr>
        <w:lastRenderedPageBreak/>
        <w:t xml:space="preserve">Atbildības </w:t>
      </w:r>
      <w:r w:rsidR="0023563C" w:rsidRPr="00124754">
        <w:rPr>
          <w:szCs w:val="24"/>
          <w:lang w:val="lv-LV"/>
        </w:rPr>
        <w:t>sadalījums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3163"/>
        <w:gridCol w:w="1907"/>
        <w:gridCol w:w="1776"/>
      </w:tblGrid>
      <w:tr w:rsidR="00246DE5" w:rsidRPr="00124754" w14:paraId="1994449E" w14:textId="77777777" w:rsidTr="00A17BEE">
        <w:tc>
          <w:tcPr>
            <w:tcW w:w="0" w:type="auto"/>
            <w:shd w:val="clear" w:color="auto" w:fill="F2F2F2" w:themeFill="background1" w:themeFillShade="F2"/>
            <w:hideMark/>
          </w:tcPr>
          <w:p w14:paraId="76CB75E6" w14:textId="77777777" w:rsidR="00246DE5" w:rsidRPr="00124754" w:rsidRDefault="00246DE5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Vārds un uzvārds</w:t>
            </w:r>
          </w:p>
        </w:tc>
        <w:tc>
          <w:tcPr>
            <w:tcW w:w="3163" w:type="dxa"/>
            <w:shd w:val="clear" w:color="auto" w:fill="F2F2F2" w:themeFill="background1" w:themeFillShade="F2"/>
            <w:hideMark/>
          </w:tcPr>
          <w:p w14:paraId="7676E6C5" w14:textId="69C8A0EA" w:rsidR="00246DE5" w:rsidRPr="00124754" w:rsidRDefault="00246DE5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Amats</w:t>
            </w:r>
            <w:r w:rsidR="00BE53F3" w:rsidRPr="00124754">
              <w:rPr>
                <w:b/>
                <w:bCs/>
                <w:lang w:eastAsia="en-US"/>
              </w:rPr>
              <w:t xml:space="preserve"> un atbildība</w:t>
            </w:r>
          </w:p>
        </w:tc>
        <w:tc>
          <w:tcPr>
            <w:tcW w:w="1907" w:type="dxa"/>
            <w:shd w:val="clear" w:color="auto" w:fill="F2F2F2" w:themeFill="background1" w:themeFillShade="F2"/>
            <w:hideMark/>
          </w:tcPr>
          <w:p w14:paraId="4A801B43" w14:textId="77777777" w:rsidR="00246DE5" w:rsidRPr="00124754" w:rsidRDefault="00246DE5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E-pasts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2FA2B162" w14:textId="77777777" w:rsidR="00246DE5" w:rsidRPr="00124754" w:rsidRDefault="00246DE5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Tālrunis</w:t>
            </w:r>
          </w:p>
        </w:tc>
      </w:tr>
      <w:tr w:rsidR="00246DE5" w:rsidRPr="00124754" w14:paraId="3ED4B935" w14:textId="77777777" w:rsidTr="00246DE5">
        <w:tc>
          <w:tcPr>
            <w:tcW w:w="0" w:type="auto"/>
            <w:hideMark/>
          </w:tcPr>
          <w:p w14:paraId="681926A1" w14:textId="6FD1A04D" w:rsidR="00246DE5" w:rsidRPr="00124754" w:rsidRDefault="00246DE5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[</w:t>
            </w:r>
            <w:r w:rsidR="0063771F" w:rsidRPr="00124754">
              <w:rPr>
                <w:lang w:eastAsia="en-US"/>
              </w:rPr>
              <w:t>.…</w:t>
            </w:r>
            <w:r w:rsidRPr="00124754">
              <w:rPr>
                <w:lang w:eastAsia="en-US"/>
              </w:rPr>
              <w:t>]</w:t>
            </w:r>
          </w:p>
        </w:tc>
        <w:tc>
          <w:tcPr>
            <w:tcW w:w="3163" w:type="dxa"/>
            <w:hideMark/>
          </w:tcPr>
          <w:p w14:paraId="27EBE866" w14:textId="74439917" w:rsidR="00246DE5" w:rsidRPr="00124754" w:rsidRDefault="00BE53F3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Vadītājs (</w:t>
            </w:r>
            <w:r w:rsidR="00246DE5" w:rsidRPr="00124754">
              <w:rPr>
                <w:lang w:eastAsia="en-US"/>
              </w:rPr>
              <w:t>IT nodaļas vadītājs</w:t>
            </w:r>
            <w:r w:rsidRPr="00124754">
              <w:rPr>
                <w:lang w:eastAsia="en-US"/>
              </w:rPr>
              <w:t>)</w:t>
            </w:r>
          </w:p>
        </w:tc>
        <w:tc>
          <w:tcPr>
            <w:tcW w:w="1907" w:type="dxa"/>
            <w:hideMark/>
          </w:tcPr>
          <w:p w14:paraId="203F58D7" w14:textId="07A52094" w:rsidR="00246DE5" w:rsidRPr="00124754" w:rsidRDefault="00246DE5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darba: [e-pasts]</w:t>
            </w:r>
          </w:p>
        </w:tc>
        <w:tc>
          <w:tcPr>
            <w:tcW w:w="0" w:type="auto"/>
            <w:hideMark/>
          </w:tcPr>
          <w:p w14:paraId="393FE408" w14:textId="77777777" w:rsidR="00246DE5" w:rsidRPr="00124754" w:rsidRDefault="00246DE5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birojs / mobilais</w:t>
            </w:r>
          </w:p>
        </w:tc>
      </w:tr>
      <w:tr w:rsidR="00246DE5" w:rsidRPr="00124754" w14:paraId="3FF3461D" w14:textId="77777777" w:rsidTr="00246DE5">
        <w:tc>
          <w:tcPr>
            <w:tcW w:w="0" w:type="auto"/>
            <w:hideMark/>
          </w:tcPr>
          <w:p w14:paraId="01D1F6BB" w14:textId="365E3889" w:rsidR="00246DE5" w:rsidRPr="00124754" w:rsidRDefault="00246DE5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[</w:t>
            </w:r>
            <w:r w:rsidR="0063771F" w:rsidRPr="00124754">
              <w:rPr>
                <w:lang w:eastAsia="en-US"/>
              </w:rPr>
              <w:t>….</w:t>
            </w:r>
            <w:r w:rsidRPr="00124754">
              <w:rPr>
                <w:lang w:eastAsia="en-US"/>
              </w:rPr>
              <w:t>]</w:t>
            </w:r>
          </w:p>
        </w:tc>
        <w:tc>
          <w:tcPr>
            <w:tcW w:w="3163" w:type="dxa"/>
            <w:hideMark/>
          </w:tcPr>
          <w:p w14:paraId="6EF31A8E" w14:textId="6FC56B81" w:rsidR="00246DE5" w:rsidRPr="00124754" w:rsidRDefault="00BE53F3" w:rsidP="00124754">
            <w:pPr>
              <w:spacing w:after="120"/>
              <w:mirrorIndents/>
              <w:rPr>
                <w:lang w:eastAsia="en-US"/>
              </w:rPr>
            </w:pPr>
            <w:proofErr w:type="spellStart"/>
            <w:r w:rsidRPr="00124754">
              <w:rPr>
                <w:lang w:eastAsia="en-US"/>
              </w:rPr>
              <w:t>Kiberdrošības</w:t>
            </w:r>
            <w:proofErr w:type="spellEnd"/>
            <w:r w:rsidRPr="00124754">
              <w:rPr>
                <w:lang w:eastAsia="en-US"/>
              </w:rPr>
              <w:t xml:space="preserve"> pārvaldnieks (</w:t>
            </w:r>
            <w:r w:rsidR="00246DE5" w:rsidRPr="00124754">
              <w:rPr>
                <w:lang w:eastAsia="en-US"/>
              </w:rPr>
              <w:t>Arhitektūras un drošības vadītājs</w:t>
            </w:r>
            <w:r w:rsidRPr="00124754">
              <w:rPr>
                <w:lang w:eastAsia="en-US"/>
              </w:rPr>
              <w:t>)</w:t>
            </w:r>
          </w:p>
        </w:tc>
        <w:tc>
          <w:tcPr>
            <w:tcW w:w="1907" w:type="dxa"/>
            <w:hideMark/>
          </w:tcPr>
          <w:p w14:paraId="7F4EA362" w14:textId="68C15DEB" w:rsidR="00246DE5" w:rsidRPr="00124754" w:rsidRDefault="00246DE5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darba: [e-pasts]</w:t>
            </w:r>
          </w:p>
        </w:tc>
        <w:tc>
          <w:tcPr>
            <w:tcW w:w="0" w:type="auto"/>
            <w:hideMark/>
          </w:tcPr>
          <w:p w14:paraId="06DEE9CE" w14:textId="77777777" w:rsidR="00246DE5" w:rsidRPr="00124754" w:rsidRDefault="00246DE5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birojs / mobilais</w:t>
            </w:r>
          </w:p>
        </w:tc>
      </w:tr>
    </w:tbl>
    <w:p w14:paraId="24EC2E87" w14:textId="03615FDE" w:rsidR="00907C02" w:rsidRPr="00124754" w:rsidRDefault="0042229B" w:rsidP="00124754">
      <w:pPr>
        <w:pStyle w:val="Heading2"/>
        <w:numPr>
          <w:ilvl w:val="1"/>
          <w:numId w:val="1"/>
        </w:numPr>
        <w:rPr>
          <w:szCs w:val="24"/>
          <w:lang w:val="lv-LV"/>
        </w:rPr>
      </w:pPr>
      <w:bookmarkStart w:id="12" w:name="_Toc204681879"/>
      <w:r w:rsidRPr="00124754">
        <w:rPr>
          <w:szCs w:val="24"/>
          <w:lang w:val="lv-LV"/>
        </w:rPr>
        <w:t>Atbalsts</w:t>
      </w:r>
      <w:bookmarkEnd w:id="12"/>
    </w:p>
    <w:p w14:paraId="4D085AF0" w14:textId="145BC300" w:rsidR="00F80CC0" w:rsidRPr="00124754" w:rsidRDefault="00F80CC0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Informācija par to kā </w:t>
      </w:r>
      <w:r w:rsidR="0023563C" w:rsidRPr="00124754">
        <w:rPr>
          <w:rFonts w:eastAsia="Times New Roman"/>
          <w:lang w:eastAsia="en-US"/>
        </w:rPr>
        <w:t>o</w:t>
      </w:r>
      <w:r w:rsidRPr="00124754">
        <w:rPr>
          <w:rFonts w:eastAsia="Times New Roman"/>
          <w:lang w:eastAsia="en-US"/>
        </w:rPr>
        <w:t>rganizācija nodrošina nepieciešamos resursus informācijas drošības uzturēšanai, tai skaitā:</w:t>
      </w:r>
    </w:p>
    <w:p w14:paraId="54958520" w14:textId="77777777" w:rsidR="00F80CC0" w:rsidRPr="00124754" w:rsidRDefault="00F80CC0" w:rsidP="00124754">
      <w:pPr>
        <w:widowControl/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specializētus drošības risinājumus (piem., IDPS);</w:t>
      </w:r>
    </w:p>
    <w:p w14:paraId="0720F199" w14:textId="77777777" w:rsidR="00F80CC0" w:rsidRPr="00124754" w:rsidRDefault="00F80CC0" w:rsidP="00124754">
      <w:pPr>
        <w:widowControl/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tīkla uzraudzības un infrastruktūras jaudu;</w:t>
      </w:r>
    </w:p>
    <w:p w14:paraId="15E12D50" w14:textId="77777777" w:rsidR="00F80CC0" w:rsidRPr="00124754" w:rsidRDefault="00F80CC0" w:rsidP="00124754">
      <w:pPr>
        <w:widowControl/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personālu incidentu analīzei un reaģēšanai;</w:t>
      </w:r>
    </w:p>
    <w:p w14:paraId="7A940869" w14:textId="77777777" w:rsidR="00F80CC0" w:rsidRPr="00124754" w:rsidRDefault="00F80CC0" w:rsidP="00124754">
      <w:pPr>
        <w:widowControl/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budžetu testēšanai, uzlabojumiem un ārējai ekspertīzei.</w:t>
      </w:r>
    </w:p>
    <w:p w14:paraId="6FF59F0E" w14:textId="3B2C9CAE" w:rsidR="00532451" w:rsidRPr="00124754" w:rsidRDefault="00532451" w:rsidP="00124754">
      <w:pPr>
        <w:pStyle w:val="Heading2"/>
        <w:numPr>
          <w:ilvl w:val="1"/>
          <w:numId w:val="1"/>
        </w:numPr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13" w:name="_Toc204681880"/>
      <w:r w:rsidRPr="00124754">
        <w:rPr>
          <w:szCs w:val="24"/>
          <w:lang w:val="lv-LV"/>
        </w:rPr>
        <w:t>Kompetence</w:t>
      </w:r>
      <w:bookmarkEnd w:id="13"/>
    </w:p>
    <w:p w14:paraId="7D94F29B" w14:textId="0B1D1AAA" w:rsidR="00F80CC0" w:rsidRPr="00124754" w:rsidRDefault="00F80CC0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Piem. Darbiniekiem, kuri iesaistīti informācijas drošībā, tiek nodrošināta:</w:t>
      </w:r>
    </w:p>
    <w:p w14:paraId="562C1BD1" w14:textId="77777777" w:rsidR="00F80CC0" w:rsidRPr="00124754" w:rsidRDefault="00F80CC0" w:rsidP="00124754">
      <w:pPr>
        <w:widowControl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regulāra profesionālā pilnveide un sertifikācijas iespējas (CISSP, CISM u.c.);</w:t>
      </w:r>
    </w:p>
    <w:p w14:paraId="75341656" w14:textId="77777777" w:rsidR="00F80CC0" w:rsidRPr="00124754" w:rsidRDefault="00F80CC0" w:rsidP="00124754">
      <w:pPr>
        <w:widowControl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praktiskas simulācijas un incidentu pārvaldības apmācības;</w:t>
      </w:r>
    </w:p>
    <w:p w14:paraId="6A49D348" w14:textId="77777777" w:rsidR="00F80CC0" w:rsidRPr="00124754" w:rsidRDefault="00F80CC0" w:rsidP="00124754">
      <w:pPr>
        <w:widowControl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kompetenču pārbaude (testi, simulācijas) atbilstoši apdraudējumu attīstībai.</w:t>
      </w:r>
    </w:p>
    <w:p w14:paraId="0AB8B864" w14:textId="7B27D327" w:rsidR="00532451" w:rsidRPr="00124754" w:rsidRDefault="00246DE5" w:rsidP="00124754">
      <w:pPr>
        <w:pStyle w:val="Heading2"/>
        <w:numPr>
          <w:ilvl w:val="1"/>
          <w:numId w:val="1"/>
        </w:numPr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14" w:name="_Toc204681881"/>
      <w:r w:rsidR="00532451" w:rsidRPr="00124754">
        <w:rPr>
          <w:szCs w:val="24"/>
          <w:lang w:val="lv-LV"/>
        </w:rPr>
        <w:t>Informētība</w:t>
      </w:r>
      <w:bookmarkEnd w:id="14"/>
    </w:p>
    <w:p w14:paraId="2109930C" w14:textId="4D780432" w:rsidR="00532451" w:rsidRPr="00124754" w:rsidRDefault="0063771F" w:rsidP="00124754">
      <w:pPr>
        <w:spacing w:after="120" w:line="240" w:lineRule="auto"/>
        <w:mirrorIndents/>
        <w:rPr>
          <w:lang w:eastAsia="en-US"/>
        </w:rPr>
      </w:pPr>
      <w:r w:rsidRPr="00124754">
        <w:t xml:space="preserve">Informācija par to kā </w:t>
      </w:r>
      <w:r w:rsidRPr="00124754">
        <w:rPr>
          <w:lang w:eastAsia="en-US"/>
        </w:rPr>
        <w:t>o</w:t>
      </w:r>
      <w:r w:rsidR="00532451" w:rsidRPr="00124754">
        <w:rPr>
          <w:lang w:eastAsia="en-US"/>
        </w:rPr>
        <w:t>rganizācija veido un uztur augstu darbinieku informētības līmeni par informācijas drošību, tostarp:</w:t>
      </w:r>
    </w:p>
    <w:p w14:paraId="5CDAF597" w14:textId="77777777" w:rsidR="00F80CC0" w:rsidRPr="00124754" w:rsidRDefault="00F80CC0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Organizācija veicina darbinieku informētību par drošību, nodrošinot:</w:t>
      </w:r>
    </w:p>
    <w:p w14:paraId="570C93BF" w14:textId="77777777" w:rsidR="00F80CC0" w:rsidRPr="00124754" w:rsidRDefault="00F80CC0" w:rsidP="00124754">
      <w:pPr>
        <w:widowControl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piekļuvi politikām un instrukcijām;</w:t>
      </w:r>
    </w:p>
    <w:p w14:paraId="188CE3D3" w14:textId="77777777" w:rsidR="00F80CC0" w:rsidRPr="00124754" w:rsidRDefault="00F80CC0" w:rsidP="00124754">
      <w:pPr>
        <w:widowControl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apmācības, informatīvas kampaņas un </w:t>
      </w:r>
      <w:proofErr w:type="spellStart"/>
      <w:r w:rsidRPr="00124754">
        <w:rPr>
          <w:rFonts w:eastAsia="Times New Roman"/>
          <w:lang w:eastAsia="en-US"/>
        </w:rPr>
        <w:t>ievadapmācības</w:t>
      </w:r>
      <w:proofErr w:type="spellEnd"/>
      <w:r w:rsidRPr="00124754">
        <w:rPr>
          <w:rFonts w:eastAsia="Times New Roman"/>
          <w:lang w:eastAsia="en-US"/>
        </w:rPr>
        <w:t xml:space="preserve"> jaunajiem darbiniekiem;</w:t>
      </w:r>
    </w:p>
    <w:p w14:paraId="700CDC88" w14:textId="77777777" w:rsidR="00F80CC0" w:rsidRPr="00124754" w:rsidRDefault="00F80CC0" w:rsidP="00124754">
      <w:pPr>
        <w:widowControl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regulāras pārbaudes (sociālās inženierijas testi u.c.).</w:t>
      </w:r>
    </w:p>
    <w:p w14:paraId="7675104D" w14:textId="5846C4FF" w:rsidR="00532451" w:rsidRPr="00124754" w:rsidRDefault="00246DE5" w:rsidP="00124754">
      <w:pPr>
        <w:pStyle w:val="Heading2"/>
        <w:numPr>
          <w:ilvl w:val="1"/>
          <w:numId w:val="1"/>
        </w:numPr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15" w:name="_Toc204681882"/>
      <w:r w:rsidR="00532451" w:rsidRPr="00124754">
        <w:rPr>
          <w:szCs w:val="24"/>
          <w:lang w:val="lv-LV"/>
        </w:rPr>
        <w:t>Komunikācija</w:t>
      </w:r>
      <w:bookmarkEnd w:id="15"/>
    </w:p>
    <w:p w14:paraId="076FD54E" w14:textId="5C3EF649" w:rsidR="00F80CC0" w:rsidRPr="00124754" w:rsidRDefault="00F80CC0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Informācija par to kā tiek noteikta strukturēta komunikācijas kārtība drošības jautājumos:</w:t>
      </w:r>
    </w:p>
    <w:p w14:paraId="6856C88E" w14:textId="46932342" w:rsidR="00F80CC0" w:rsidRPr="00124754" w:rsidRDefault="00F80CC0" w:rsidP="00124754">
      <w:pPr>
        <w:widowControl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pienākumu sadalījums </w:t>
      </w:r>
      <w:r w:rsidR="00BE53F3" w:rsidRPr="00124754">
        <w:rPr>
          <w:rFonts w:eastAsia="Times New Roman"/>
          <w:lang w:eastAsia="en-US"/>
        </w:rPr>
        <w:t xml:space="preserve">atbilstoši </w:t>
      </w:r>
      <w:proofErr w:type="spellStart"/>
      <w:r w:rsidR="00BE53F3" w:rsidRPr="00124754">
        <w:rPr>
          <w:rFonts w:eastAsia="Times New Roman"/>
          <w:lang w:eastAsia="en-US"/>
        </w:rPr>
        <w:t>delaģētajai</w:t>
      </w:r>
      <w:proofErr w:type="spellEnd"/>
      <w:r w:rsidR="00BE53F3" w:rsidRPr="00124754">
        <w:rPr>
          <w:rFonts w:eastAsia="Times New Roman"/>
          <w:lang w:eastAsia="en-US"/>
        </w:rPr>
        <w:t xml:space="preserve"> atbildībai</w:t>
      </w:r>
      <w:r w:rsidRPr="00124754">
        <w:rPr>
          <w:rFonts w:eastAsia="Times New Roman"/>
          <w:lang w:eastAsia="en-US"/>
        </w:rPr>
        <w:t>;</w:t>
      </w:r>
    </w:p>
    <w:p w14:paraId="6458EAC4" w14:textId="77777777" w:rsidR="00F80CC0" w:rsidRPr="00124754" w:rsidRDefault="00F80CC0" w:rsidP="00124754">
      <w:pPr>
        <w:widowControl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incidentu reaģēšanas un saziņas protokoli;</w:t>
      </w:r>
    </w:p>
    <w:p w14:paraId="423352B8" w14:textId="77777777" w:rsidR="00F80CC0" w:rsidRPr="00124754" w:rsidRDefault="00F80CC0" w:rsidP="00124754">
      <w:pPr>
        <w:widowControl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saziņa ar ārējām pusēm (CERT.LV, piegādātāji, klienti);</w:t>
      </w:r>
    </w:p>
    <w:p w14:paraId="45F93DCD" w14:textId="77777777" w:rsidR="00F80CC0" w:rsidRPr="00124754" w:rsidRDefault="00F80CC0" w:rsidP="00124754">
      <w:pPr>
        <w:widowControl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ziņošanas kanāli iekšējiem incidentiem (e-pasts, tālrunis, sistēmas).</w:t>
      </w:r>
    </w:p>
    <w:p w14:paraId="03B91E96" w14:textId="66DB0F29" w:rsidR="00E35162" w:rsidRPr="00A72DEE" w:rsidRDefault="00807DFC" w:rsidP="00064C21">
      <w:pPr>
        <w:pStyle w:val="Heading1"/>
      </w:pPr>
      <w:bookmarkStart w:id="16" w:name="_Toc204681883"/>
      <w:r w:rsidRPr="00A72DEE">
        <w:lastRenderedPageBreak/>
        <w:t xml:space="preserve">3. </w:t>
      </w:r>
      <w:r w:rsidR="00907C02" w:rsidRPr="00A72DEE">
        <w:t>RISKU PĀRVALDĪBA</w:t>
      </w:r>
      <w:bookmarkEnd w:id="16"/>
      <w:r w:rsidR="0074731D">
        <w:t xml:space="preserve"> </w:t>
      </w:r>
    </w:p>
    <w:p w14:paraId="3DEEA358" w14:textId="78FA2538" w:rsidR="00532451" w:rsidRPr="00A72DEE" w:rsidRDefault="00807DFC" w:rsidP="00C25CA3">
      <w:pPr>
        <w:pStyle w:val="Heading2"/>
        <w:rPr>
          <w:lang w:val="lv-LV"/>
        </w:rPr>
      </w:pPr>
      <w:r w:rsidRPr="00A72DEE">
        <w:rPr>
          <w:lang w:val="lv-LV"/>
        </w:rPr>
        <w:t xml:space="preserve"> </w:t>
      </w:r>
      <w:bookmarkStart w:id="17" w:name="_Toc204681884"/>
      <w:r w:rsidR="00532451" w:rsidRPr="00A72DEE">
        <w:rPr>
          <w:lang w:val="lv-LV"/>
        </w:rPr>
        <w:t>Riska novērtēšana</w:t>
      </w:r>
      <w:bookmarkEnd w:id="17"/>
    </w:p>
    <w:p w14:paraId="4F171CB4" w14:textId="77777777" w:rsidR="00F80CC0" w:rsidRPr="00F80CC0" w:rsidRDefault="00F80CC0" w:rsidP="00F80CC0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Informācija par to, kā organizācijā tiek veikta regulāra informācijas drošības risku novērtēšana, lai identificētu potenciālos apdraudējumus, ievainojamības un to iespējamo ietekmi uz konfidencialitāti, integritāti un pieejamību. Riska novērtēšanas process ietver:</w:t>
      </w:r>
    </w:p>
    <w:p w14:paraId="44B4F796" w14:textId="77777777" w:rsidR="00F80CC0" w:rsidRPr="00F80CC0" w:rsidRDefault="00F80CC0">
      <w:pPr>
        <w:widowControl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informācijas aktīvu identificēšanu un klasificēšanu;</w:t>
      </w:r>
    </w:p>
    <w:p w14:paraId="6D8B194B" w14:textId="77777777" w:rsidR="00F80CC0" w:rsidRPr="00F80CC0" w:rsidRDefault="00F80CC0">
      <w:pPr>
        <w:widowControl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draudu un ievainojamību analīzi;</w:t>
      </w:r>
    </w:p>
    <w:p w14:paraId="0C56505B" w14:textId="77777777" w:rsidR="00F80CC0" w:rsidRPr="00F80CC0" w:rsidRDefault="00F80CC0">
      <w:pPr>
        <w:widowControl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riska līmeņa aprēķinu (ietekme × iespējamība);</w:t>
      </w:r>
    </w:p>
    <w:p w14:paraId="66555B25" w14:textId="77777777" w:rsidR="00F80CC0" w:rsidRPr="00F80CC0" w:rsidRDefault="00F80CC0">
      <w:pPr>
        <w:widowControl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 xml:space="preserve">prioritāšu noteikšanu un riska </w:t>
      </w:r>
      <w:proofErr w:type="spellStart"/>
      <w:r w:rsidRPr="00F80CC0">
        <w:rPr>
          <w:rFonts w:eastAsia="Times New Roman"/>
          <w:lang w:eastAsia="en-US"/>
        </w:rPr>
        <w:t>pieņemamības</w:t>
      </w:r>
      <w:proofErr w:type="spellEnd"/>
      <w:r w:rsidRPr="00F80CC0">
        <w:rPr>
          <w:rFonts w:eastAsia="Times New Roman"/>
          <w:lang w:eastAsia="en-US"/>
        </w:rPr>
        <w:t xml:space="preserve"> izvērtēšanu.</w:t>
      </w:r>
    </w:p>
    <w:p w14:paraId="73967B19" w14:textId="71EE52A6" w:rsidR="00F80CC0" w:rsidRPr="00F80CC0" w:rsidRDefault="00F80CC0" w:rsidP="00F80CC0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Novērtēšana tiek veikta sistēmas izstrādes</w:t>
      </w:r>
      <w:r w:rsidR="004077B0">
        <w:rPr>
          <w:rFonts w:eastAsia="Times New Roman"/>
          <w:lang w:eastAsia="en-US"/>
        </w:rPr>
        <w:t xml:space="preserve"> vai ieviešanas</w:t>
      </w:r>
      <w:r w:rsidRPr="00F80CC0">
        <w:rPr>
          <w:rFonts w:eastAsia="Times New Roman"/>
          <w:lang w:eastAsia="en-US"/>
        </w:rPr>
        <w:t xml:space="preserve"> posmā, kā arī regulāri</w:t>
      </w:r>
      <w:r w:rsidR="004077B0">
        <w:rPr>
          <w:rFonts w:eastAsia="Times New Roman"/>
          <w:lang w:eastAsia="en-US"/>
        </w:rPr>
        <w:t xml:space="preserve"> pārskatīta</w:t>
      </w:r>
      <w:r w:rsidRPr="00F80CC0">
        <w:rPr>
          <w:rFonts w:eastAsia="Times New Roman"/>
          <w:lang w:eastAsia="en-US"/>
        </w:rPr>
        <w:t xml:space="preserve"> – vismaz reizi gadā vai pēc būtiskām izmaiņām.</w:t>
      </w:r>
    </w:p>
    <w:p w14:paraId="3F3D461E" w14:textId="1D96598E" w:rsidR="00532451" w:rsidRPr="00A72DEE" w:rsidRDefault="00771584" w:rsidP="00C25CA3">
      <w:pPr>
        <w:pStyle w:val="Heading2"/>
        <w:rPr>
          <w:lang w:val="lv-LV"/>
        </w:rPr>
      </w:pPr>
      <w:r w:rsidRPr="00A72DEE">
        <w:rPr>
          <w:lang w:val="lv-LV"/>
        </w:rPr>
        <w:t xml:space="preserve"> </w:t>
      </w:r>
      <w:bookmarkStart w:id="18" w:name="_Toc204681885"/>
      <w:r w:rsidR="00532451" w:rsidRPr="00A72DEE">
        <w:rPr>
          <w:lang w:val="lv-LV"/>
        </w:rPr>
        <w:t>Riska apstrāde</w:t>
      </w:r>
      <w:bookmarkEnd w:id="18"/>
    </w:p>
    <w:p w14:paraId="760D2EE5" w14:textId="77777777" w:rsidR="00F80CC0" w:rsidRPr="00F80CC0" w:rsidRDefault="00F80CC0" w:rsidP="00F80CC0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Informācija par to, kā organizācija, pamatojoties uz risku novērtēšanas rezultātiem, izstrādā risku apstrādes plānus, nosakot kontroles pasākumus, lai:</w:t>
      </w:r>
    </w:p>
    <w:p w14:paraId="72CD0631" w14:textId="378C5129" w:rsidR="00F80CC0" w:rsidRPr="00F80CC0" w:rsidRDefault="002102F8">
      <w:pPr>
        <w:widowControl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ierobežotu</w:t>
      </w:r>
      <w:r w:rsidR="00F80CC0" w:rsidRPr="00F80CC0">
        <w:rPr>
          <w:rFonts w:eastAsia="Times New Roman"/>
          <w:lang w:eastAsia="en-US"/>
        </w:rPr>
        <w:t xml:space="preserve"> riskus līdz pieņemamam līmenim;</w:t>
      </w:r>
    </w:p>
    <w:p w14:paraId="3E738182" w14:textId="77777777" w:rsidR="00F80CC0" w:rsidRPr="00F80CC0" w:rsidRDefault="00F80CC0">
      <w:pPr>
        <w:widowControl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izvairītos no nepieņemamiem riskiem;</w:t>
      </w:r>
    </w:p>
    <w:p w14:paraId="703C2DDE" w14:textId="77777777" w:rsidR="00F80CC0" w:rsidRPr="00F80CC0" w:rsidRDefault="00F80CC0">
      <w:pPr>
        <w:widowControl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pārceltu riskus uz trešajām pusēm (piemēram, ar apdrošināšanu vai deleģēšanu);</w:t>
      </w:r>
    </w:p>
    <w:p w14:paraId="4FB88F17" w14:textId="77777777" w:rsidR="00F80CC0" w:rsidRPr="00F80CC0" w:rsidRDefault="00F80CC0">
      <w:pPr>
        <w:widowControl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pieņemtu zema līmeņa, kontrolētus riskus.</w:t>
      </w:r>
    </w:p>
    <w:p w14:paraId="4386360E" w14:textId="6439B401" w:rsidR="00771584" w:rsidRPr="00851C07" w:rsidRDefault="00F80CC0" w:rsidP="00851C07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Risku apstrādes plāni tiek dokumentēti, pārskatīti un piesaistīti konkrētām atbildīgajām personām un termiņiem.</w:t>
      </w:r>
    </w:p>
    <w:p w14:paraId="52E0E73C" w14:textId="4ACFC719" w:rsidR="00532451" w:rsidRPr="00A72DEE" w:rsidRDefault="00771584" w:rsidP="00C25CA3">
      <w:pPr>
        <w:pStyle w:val="Heading2"/>
        <w:rPr>
          <w:lang w:val="lv-LV"/>
        </w:rPr>
      </w:pPr>
      <w:r w:rsidRPr="00A72DEE">
        <w:rPr>
          <w:lang w:val="lv-LV"/>
        </w:rPr>
        <w:t xml:space="preserve"> </w:t>
      </w:r>
      <w:bookmarkStart w:id="19" w:name="_Toc204681886"/>
      <w:r w:rsidR="00532451" w:rsidRPr="00A72DEE">
        <w:rPr>
          <w:lang w:val="lv-LV"/>
        </w:rPr>
        <w:t>Informācijas drošības mērķi</w:t>
      </w:r>
      <w:bookmarkEnd w:id="19"/>
    </w:p>
    <w:p w14:paraId="4CB98072" w14:textId="77777777" w:rsidR="00F80CC0" w:rsidRPr="00F80CC0" w:rsidRDefault="00F80CC0" w:rsidP="00F80CC0">
      <w:pPr>
        <w:widowControl/>
        <w:spacing w:before="100" w:beforeAutospacing="1" w:after="100" w:afterAutospacing="1" w:line="240" w:lineRule="auto"/>
        <w:jc w:val="left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Informācija par to, kā organizācija nosaka konkrētus, izmērāmus un sasniedzamus informācijas drošības mērķus, kas atbilst tās stratēģijai un riska profilam. Mērķi tiek:</w:t>
      </w:r>
    </w:p>
    <w:p w14:paraId="038184FC" w14:textId="77777777" w:rsidR="00F80CC0" w:rsidRPr="00F80CC0" w:rsidRDefault="00F80CC0">
      <w:pPr>
        <w:widowControl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definēti augstākajā vadības līmenī (piem., samazināt incidentu skaitu);</w:t>
      </w:r>
    </w:p>
    <w:p w14:paraId="1AD77CC9" w14:textId="77777777" w:rsidR="00F80CC0" w:rsidRPr="00F80CC0" w:rsidRDefault="00F80CC0">
      <w:pPr>
        <w:widowControl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sasaistīti ar klientu, normatīvajām un kvalitātes prasībām;</w:t>
      </w:r>
    </w:p>
    <w:p w14:paraId="57DAD833" w14:textId="77777777" w:rsidR="00F80CC0" w:rsidRPr="00F80CC0" w:rsidRDefault="00F80CC0">
      <w:pPr>
        <w:widowControl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regulāri pārskatīti un novērtēti ar noteiktiem drošības rādītājiem (KPI).</w:t>
      </w:r>
    </w:p>
    <w:p w14:paraId="122A63A4" w14:textId="51042660" w:rsidR="00532451" w:rsidRPr="00A72DEE" w:rsidRDefault="00771584" w:rsidP="00C25CA3">
      <w:pPr>
        <w:pStyle w:val="Heading2"/>
        <w:rPr>
          <w:lang w:val="lv-LV"/>
        </w:rPr>
      </w:pPr>
      <w:r w:rsidRPr="00A72DEE">
        <w:rPr>
          <w:lang w:val="lv-LV"/>
        </w:rPr>
        <w:t xml:space="preserve"> </w:t>
      </w:r>
      <w:bookmarkStart w:id="20" w:name="_Toc204681887"/>
      <w:r w:rsidR="00532451" w:rsidRPr="00A72DEE">
        <w:rPr>
          <w:lang w:val="lv-LV"/>
        </w:rPr>
        <w:t>Aizsardzība pret riskiem un apdraudējumiem</w:t>
      </w:r>
      <w:bookmarkEnd w:id="20"/>
    </w:p>
    <w:p w14:paraId="3D5C3553" w14:textId="3038FFD5" w:rsidR="00F80CC0" w:rsidRPr="00F80CC0" w:rsidRDefault="00F80CC0" w:rsidP="00F80CC0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 xml:space="preserve">Informācija par to, kā organizācija ievieš integrētus drošības pasākumus, lai </w:t>
      </w:r>
      <w:r w:rsidR="009648DA">
        <w:rPr>
          <w:rFonts w:eastAsia="Times New Roman"/>
          <w:lang w:eastAsia="en-US"/>
        </w:rPr>
        <w:t>pārvaldītu</w:t>
      </w:r>
      <w:r w:rsidRPr="00F80CC0">
        <w:rPr>
          <w:rFonts w:eastAsia="Times New Roman"/>
          <w:lang w:eastAsia="en-US"/>
        </w:rPr>
        <w:t xml:space="preserve"> identificēto risku ietekmi. Tiek īstenotas:</w:t>
      </w:r>
    </w:p>
    <w:p w14:paraId="15769316" w14:textId="77777777" w:rsidR="00F80CC0" w:rsidRPr="00F80CC0" w:rsidRDefault="00F80CC0" w:rsidP="00F80CC0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b/>
          <w:bCs/>
          <w:lang w:eastAsia="en-US"/>
        </w:rPr>
        <w:t>a) Administratīvās kontroles:</w:t>
      </w:r>
    </w:p>
    <w:p w14:paraId="00F575FB" w14:textId="77777777" w:rsidR="00F80CC0" w:rsidRPr="00F80CC0" w:rsidRDefault="00F80CC0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drošības politikas, procedūras un piekļuves tiesību pārvaldība;</w:t>
      </w:r>
    </w:p>
    <w:p w14:paraId="63BBE07E" w14:textId="77777777" w:rsidR="00F80CC0" w:rsidRPr="00F80CC0" w:rsidRDefault="00F80CC0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personāla apmācība un uzvedības standarti;</w:t>
      </w:r>
    </w:p>
    <w:p w14:paraId="39A03876" w14:textId="77777777" w:rsidR="00F80CC0" w:rsidRPr="00F80CC0" w:rsidRDefault="00F80CC0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riska pārvaldība un atbilstības kontrole.</w:t>
      </w:r>
    </w:p>
    <w:p w14:paraId="52A2E161" w14:textId="77777777" w:rsidR="00F80CC0" w:rsidRPr="00F80CC0" w:rsidRDefault="00F80CC0" w:rsidP="00F80CC0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b/>
          <w:bCs/>
          <w:lang w:eastAsia="en-US"/>
        </w:rPr>
        <w:t>b) Tehniskās kontroles:</w:t>
      </w:r>
    </w:p>
    <w:p w14:paraId="4DAD3043" w14:textId="77777777" w:rsidR="00F80CC0" w:rsidRPr="00F80CC0" w:rsidRDefault="00F80CC0">
      <w:pPr>
        <w:widowControl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ugunsmūri, IDPS, antivīrusi, SIEM;</w:t>
      </w:r>
    </w:p>
    <w:p w14:paraId="08215502" w14:textId="77777777" w:rsidR="00F80CC0" w:rsidRPr="00F80CC0" w:rsidRDefault="00F80CC0">
      <w:pPr>
        <w:widowControl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lastRenderedPageBreak/>
        <w:t>datu šifrēšana, autentifikācija un tīkla segmentācija.</w:t>
      </w:r>
    </w:p>
    <w:p w14:paraId="01C6D8F7" w14:textId="77777777" w:rsidR="00F80CC0" w:rsidRPr="00F80CC0" w:rsidRDefault="00F80CC0" w:rsidP="00F80CC0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b/>
          <w:bCs/>
          <w:lang w:eastAsia="en-US"/>
        </w:rPr>
        <w:t>c) Fiziskās kontroles:</w:t>
      </w:r>
    </w:p>
    <w:p w14:paraId="447E27CA" w14:textId="77777777" w:rsidR="00F80CC0" w:rsidRPr="00F80CC0" w:rsidRDefault="00F80CC0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 xml:space="preserve">ierobežota piekļuve telpām (kartes, </w:t>
      </w:r>
      <w:proofErr w:type="spellStart"/>
      <w:r w:rsidRPr="00F80CC0">
        <w:rPr>
          <w:rFonts w:eastAsia="Times New Roman"/>
          <w:lang w:eastAsia="en-US"/>
        </w:rPr>
        <w:t>biometriskie</w:t>
      </w:r>
      <w:proofErr w:type="spellEnd"/>
      <w:r w:rsidRPr="00F80CC0">
        <w:rPr>
          <w:rFonts w:eastAsia="Times New Roman"/>
          <w:lang w:eastAsia="en-US"/>
        </w:rPr>
        <w:t xml:space="preserve"> risinājumi);</w:t>
      </w:r>
    </w:p>
    <w:p w14:paraId="36C942BB" w14:textId="77777777" w:rsidR="00F80CC0" w:rsidRPr="00F80CC0" w:rsidRDefault="00F80CC0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>video novērošana, signalizācija un ārējās dublēšanas vietas.</w:t>
      </w:r>
    </w:p>
    <w:p w14:paraId="1343D5A0" w14:textId="3BB4FB58" w:rsidR="00532451" w:rsidRPr="00A72DEE" w:rsidRDefault="00CE156B" w:rsidP="00C25CA3">
      <w:pPr>
        <w:pStyle w:val="Heading2"/>
        <w:rPr>
          <w:lang w:val="lv-LV"/>
        </w:rPr>
      </w:pPr>
      <w:r w:rsidRPr="00A72DEE">
        <w:rPr>
          <w:lang w:val="lv-LV"/>
        </w:rPr>
        <w:t xml:space="preserve"> </w:t>
      </w:r>
      <w:bookmarkStart w:id="21" w:name="_Toc204681888"/>
      <w:r w:rsidR="00532451" w:rsidRPr="00A72DEE">
        <w:rPr>
          <w:lang w:val="lv-LV"/>
        </w:rPr>
        <w:t>Nepārtrauktības un incidentu reaģēšanas plāni</w:t>
      </w:r>
      <w:bookmarkEnd w:id="21"/>
    </w:p>
    <w:p w14:paraId="6664F8F6" w14:textId="4F5EA620" w:rsidR="00F80CC0" w:rsidRPr="00124754" w:rsidRDefault="00F80CC0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F80CC0">
        <w:rPr>
          <w:rFonts w:eastAsia="Times New Roman"/>
          <w:lang w:eastAsia="en-US"/>
        </w:rPr>
        <w:t xml:space="preserve">Informācija par to, kā </w:t>
      </w:r>
      <w:r w:rsidRPr="00124754">
        <w:rPr>
          <w:rFonts w:eastAsia="Times New Roman"/>
          <w:lang w:eastAsia="en-US"/>
        </w:rPr>
        <w:t>organizācija samazina sistēmu dīkstāves un operacionālo ietekmi apdraudējumu gadījumā, izstrādājot</w:t>
      </w:r>
      <w:r w:rsidR="005E4765" w:rsidRPr="00124754">
        <w:rPr>
          <w:rFonts w:eastAsia="Times New Roman"/>
          <w:lang w:eastAsia="en-US"/>
        </w:rPr>
        <w:t xml:space="preserve"> un regulāri pārskatot un</w:t>
      </w:r>
      <w:r w:rsidR="00DF49DE" w:rsidRPr="00124754">
        <w:rPr>
          <w:rFonts w:eastAsia="Times New Roman"/>
          <w:lang w:eastAsia="en-US"/>
        </w:rPr>
        <w:t>, nepieciešamības gadījumā</w:t>
      </w:r>
      <w:r w:rsidR="005E4765" w:rsidRPr="00124754">
        <w:rPr>
          <w:rFonts w:eastAsia="Times New Roman"/>
          <w:lang w:eastAsia="en-US"/>
        </w:rPr>
        <w:t xml:space="preserve"> testējot</w:t>
      </w:r>
      <w:r w:rsidR="00DF49DE" w:rsidRPr="00124754">
        <w:rPr>
          <w:rFonts w:eastAsia="Times New Roman"/>
          <w:lang w:eastAsia="en-US"/>
        </w:rPr>
        <w:t xml:space="preserve">, </w:t>
      </w:r>
      <w:r w:rsidRPr="00124754">
        <w:rPr>
          <w:rFonts w:eastAsia="Times New Roman"/>
          <w:lang w:eastAsia="en-US"/>
        </w:rPr>
        <w:t>šādus plānus:</w:t>
      </w:r>
    </w:p>
    <w:p w14:paraId="4AAFF079" w14:textId="77777777" w:rsidR="00F80CC0" w:rsidRPr="00124754" w:rsidRDefault="00F80CC0" w:rsidP="00124754">
      <w:pPr>
        <w:widowControl/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n-US"/>
        </w:rPr>
      </w:pPr>
      <w:r w:rsidRPr="00124754">
        <w:rPr>
          <w:rFonts w:eastAsia="Times New Roman"/>
          <w:b/>
          <w:bCs/>
          <w:lang w:eastAsia="en-US"/>
        </w:rPr>
        <w:t>Incidentu reaģēšanas plāns</w:t>
      </w:r>
    </w:p>
    <w:p w14:paraId="5AA93C81" w14:textId="77777777" w:rsidR="00F80CC0" w:rsidRPr="00124754" w:rsidRDefault="00F80CC0" w:rsidP="00124754">
      <w:pPr>
        <w:widowControl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nodrošina ātru un strukturētu rīcību </w:t>
      </w:r>
      <w:proofErr w:type="spellStart"/>
      <w:r w:rsidRPr="00124754">
        <w:rPr>
          <w:rFonts w:eastAsia="Times New Roman"/>
          <w:lang w:eastAsia="en-US"/>
        </w:rPr>
        <w:t>kiberincidentu</w:t>
      </w:r>
      <w:proofErr w:type="spellEnd"/>
      <w:r w:rsidRPr="00124754">
        <w:rPr>
          <w:rFonts w:eastAsia="Times New Roman"/>
          <w:lang w:eastAsia="en-US"/>
        </w:rPr>
        <w:t xml:space="preserve"> gadījumā;</w:t>
      </w:r>
    </w:p>
    <w:p w14:paraId="298305F1" w14:textId="77777777" w:rsidR="00F80CC0" w:rsidRPr="00124754" w:rsidRDefault="00F80CC0" w:rsidP="00124754">
      <w:pPr>
        <w:widowControl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ietver atbildīgos, saziņas kārtību un eskalācijas soļus;</w:t>
      </w:r>
    </w:p>
    <w:p w14:paraId="2287C9AA" w14:textId="7D17EBAB" w:rsidR="00F80CC0" w:rsidRPr="00124754" w:rsidRDefault="00F80CC0" w:rsidP="00124754">
      <w:pPr>
        <w:widowControl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ir saskaņots ar ziņošanas prasībām (t. sk.</w:t>
      </w:r>
      <w:r w:rsidR="00692631" w:rsidRPr="00124754">
        <w:rPr>
          <w:rFonts w:eastAsia="Times New Roman"/>
          <w:lang w:eastAsia="en-US"/>
        </w:rPr>
        <w:t xml:space="preserve"> atbilstoši Nacionālās </w:t>
      </w:r>
      <w:proofErr w:type="spellStart"/>
      <w:r w:rsidR="00692631" w:rsidRPr="00124754">
        <w:rPr>
          <w:rFonts w:eastAsia="Times New Roman"/>
          <w:lang w:eastAsia="en-US"/>
        </w:rPr>
        <w:t>kiberdrošības</w:t>
      </w:r>
      <w:proofErr w:type="spellEnd"/>
      <w:r w:rsidR="00692631" w:rsidRPr="00124754">
        <w:rPr>
          <w:rFonts w:eastAsia="Times New Roman"/>
          <w:lang w:eastAsia="en-US"/>
        </w:rPr>
        <w:t xml:space="preserve"> likuma prasībām</w:t>
      </w:r>
      <w:r w:rsidRPr="00124754">
        <w:rPr>
          <w:rFonts w:eastAsia="Times New Roman"/>
          <w:lang w:eastAsia="en-US"/>
        </w:rPr>
        <w:t>).</w:t>
      </w:r>
    </w:p>
    <w:p w14:paraId="4E5053CD" w14:textId="0D78980C" w:rsidR="00F80CC0" w:rsidRPr="00124754" w:rsidRDefault="00F80CC0" w:rsidP="00124754">
      <w:pPr>
        <w:widowControl/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n-US"/>
        </w:rPr>
      </w:pPr>
      <w:r w:rsidRPr="00124754">
        <w:rPr>
          <w:rFonts w:eastAsia="Times New Roman"/>
          <w:b/>
          <w:bCs/>
          <w:lang w:eastAsia="en-US"/>
        </w:rPr>
        <w:t>Ārkārtas reaģēšanas</w:t>
      </w:r>
      <w:r w:rsidR="00FD0C6D">
        <w:rPr>
          <w:rFonts w:eastAsia="Times New Roman"/>
          <w:b/>
          <w:bCs/>
          <w:lang w:eastAsia="en-US"/>
        </w:rPr>
        <w:t xml:space="preserve"> un darbības nepārtrauktības</w:t>
      </w:r>
      <w:r w:rsidRPr="00124754">
        <w:rPr>
          <w:rFonts w:eastAsia="Times New Roman"/>
          <w:b/>
          <w:bCs/>
          <w:lang w:eastAsia="en-US"/>
        </w:rPr>
        <w:t xml:space="preserve"> plāns</w:t>
      </w:r>
      <w:r w:rsidR="00FD0C6D">
        <w:rPr>
          <w:rFonts w:eastAsia="Times New Roman"/>
          <w:b/>
          <w:bCs/>
          <w:lang w:eastAsia="en-US"/>
        </w:rPr>
        <w:t xml:space="preserve"> (BCP)</w:t>
      </w:r>
    </w:p>
    <w:p w14:paraId="7AABBF87" w14:textId="77777777" w:rsidR="00F80CC0" w:rsidRPr="00124754" w:rsidRDefault="00F80CC0" w:rsidP="00124754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apraksta darbības rīcībai fizisku draudu gadījumā (ugunsgrēks, plūdi u. c.);</w:t>
      </w:r>
    </w:p>
    <w:p w14:paraId="29DF9901" w14:textId="6C88838F" w:rsidR="00F80CC0" w:rsidRDefault="00F80CC0" w:rsidP="00124754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nosaka kritisko iekārtu aizsardzību un pārvietošanu;</w:t>
      </w:r>
    </w:p>
    <w:p w14:paraId="06461ED2" w14:textId="77777777" w:rsidR="00FD0C6D" w:rsidRPr="00124754" w:rsidRDefault="00FD0C6D" w:rsidP="00FD0C6D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nodrošina pakalpojumu un sistēmu atjaunošanu krīzes laikā;</w:t>
      </w:r>
    </w:p>
    <w:p w14:paraId="4B190686" w14:textId="77777777" w:rsidR="00FD0C6D" w:rsidRPr="00124754" w:rsidRDefault="00FD0C6D" w:rsidP="00FD0C6D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definē prioritātes, atjaunošanas secību un atbildības;</w:t>
      </w:r>
    </w:p>
    <w:p w14:paraId="4C2BE3CF" w14:textId="104CCCFE" w:rsidR="00FD0C6D" w:rsidRDefault="00FD0C6D" w:rsidP="00FD0C6D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integrēts ar katastrofu atjaunošanās plānu (DRP), t.sk., rezerves kopēšanas un atjaunošanas procedūrām.</w:t>
      </w:r>
    </w:p>
    <w:p w14:paraId="738A9211" w14:textId="77777777" w:rsidR="00FD0C6D" w:rsidRPr="00FD0C6D" w:rsidRDefault="00FD0C6D" w:rsidP="006E61E6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</w:p>
    <w:p w14:paraId="48453732" w14:textId="032CC054" w:rsidR="00907C02" w:rsidRPr="00124754" w:rsidRDefault="00907C02" w:rsidP="00124754">
      <w:pPr>
        <w:pStyle w:val="Heading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bookmarkStart w:id="22" w:name="_Toc204681889"/>
      <w:r w:rsidRPr="00124754">
        <w:rPr>
          <w:rFonts w:cs="Times New Roman"/>
          <w:sz w:val="24"/>
          <w:szCs w:val="24"/>
        </w:rPr>
        <w:t>KONTROLES</w:t>
      </w:r>
      <w:bookmarkEnd w:id="22"/>
      <w:r w:rsidR="0074731D" w:rsidRPr="00124754">
        <w:rPr>
          <w:rFonts w:cs="Times New Roman"/>
          <w:sz w:val="24"/>
          <w:szCs w:val="24"/>
        </w:rPr>
        <w:t xml:space="preserve"> </w:t>
      </w:r>
    </w:p>
    <w:p w14:paraId="171B605F" w14:textId="77777777" w:rsidR="00CC6471" w:rsidRPr="00CC6471" w:rsidRDefault="00C25CA3" w:rsidP="000932BC">
      <w:pPr>
        <w:pStyle w:val="Heading2"/>
        <w:rPr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23" w:name="_Toc204681890"/>
      <w:r w:rsidR="00063BF0" w:rsidRPr="00124754">
        <w:rPr>
          <w:szCs w:val="24"/>
          <w:lang w:val="lv-LV"/>
        </w:rPr>
        <w:t>Politika</w:t>
      </w:r>
      <w:bookmarkEnd w:id="23"/>
      <w:r w:rsidR="00816018" w:rsidRPr="00124754">
        <w:rPr>
          <w:szCs w:val="24"/>
          <w:lang w:val="lv-LV"/>
        </w:rPr>
        <w:t xml:space="preserve"> </w:t>
      </w:r>
    </w:p>
    <w:p w14:paraId="730696DA" w14:textId="3FFE3A9D" w:rsidR="00851C07" w:rsidRPr="00CC6471" w:rsidRDefault="00851C07" w:rsidP="00A25D0C">
      <w:r w:rsidRPr="00CC6471">
        <w:t>Informācija par to, kā organizācijā tiek izstrādātas, apstiprinātas un regulāri pārskatītas informācijas drošības politikas un procedūras, kas definē standartus un prasības visos drošības aspektos.</w:t>
      </w:r>
    </w:p>
    <w:p w14:paraId="00A9CEAB" w14:textId="19FE84A7" w:rsidR="00851C07" w:rsidRPr="00124754" w:rsidRDefault="00851C07" w:rsidP="00124754">
      <w:pPr>
        <w:spacing w:after="120" w:line="240" w:lineRule="auto"/>
        <w:mirrorIndents/>
      </w:pPr>
      <w:r w:rsidRPr="00124754">
        <w:t>Informācija par pieejamības plāniem, kas nodrošina sistēmu un datu atjaunošanu pēc incidentiem, integrēti biznesa nepārtrauktības stratēģijā.</w:t>
      </w:r>
    </w:p>
    <w:p w14:paraId="12F7037C" w14:textId="75B8CD4B" w:rsidR="00063BF0" w:rsidRPr="00124754" w:rsidRDefault="00C25CA3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24" w:name="_Toc204681891"/>
      <w:r w:rsidR="00063BF0" w:rsidRPr="00124754">
        <w:rPr>
          <w:szCs w:val="24"/>
          <w:lang w:val="lv-LV"/>
        </w:rPr>
        <w:t>Fiziskā drošība</w:t>
      </w:r>
      <w:bookmarkEnd w:id="24"/>
    </w:p>
    <w:p w14:paraId="71D2E9EA" w14:textId="4B45D9B6" w:rsidR="00851C07" w:rsidRPr="00124754" w:rsidRDefault="00851C07" w:rsidP="00124754">
      <w:pPr>
        <w:spacing w:after="120" w:line="240" w:lineRule="auto"/>
        <w:mirrorIndents/>
      </w:pPr>
      <w:r w:rsidRPr="00124754">
        <w:t>Piekļuves kontrole kritiskajām vietām (telpām, skapjiem) ar autentifikācijas līdzekļiem un videonovērošanu drošības notikumu uzraudzībai.</w:t>
      </w:r>
    </w:p>
    <w:p w14:paraId="5FABEC52" w14:textId="39D16E43" w:rsidR="00063BF0" w:rsidRPr="00124754" w:rsidRDefault="00063BF0" w:rsidP="00124754">
      <w:pPr>
        <w:pStyle w:val="Heading2"/>
        <w:rPr>
          <w:szCs w:val="24"/>
          <w:lang w:val="lv-LV"/>
        </w:rPr>
      </w:pPr>
      <w:bookmarkStart w:id="25" w:name="_Toc204681892"/>
      <w:r w:rsidRPr="00124754">
        <w:rPr>
          <w:szCs w:val="24"/>
          <w:lang w:val="lv-LV"/>
        </w:rPr>
        <w:t>Personāla drošība un identitātes pārvaldība (IAM)</w:t>
      </w:r>
      <w:bookmarkEnd w:id="25"/>
    </w:p>
    <w:p w14:paraId="4718C9BA" w14:textId="0DD03295" w:rsidR="00851C07" w:rsidRPr="00124754" w:rsidRDefault="00851C07" w:rsidP="00124754">
      <w:pPr>
        <w:spacing w:after="0" w:line="240" w:lineRule="auto"/>
        <w:ind w:left="207"/>
        <w:mirrorIndents/>
      </w:pPr>
      <w:r w:rsidRPr="00124754">
        <w:t>Informācija par IAM politiku, tai skaitā loģiskās piekļuves kontroles, autentifikācijas un tiesību dzīves cikla pārvaldību.</w:t>
      </w:r>
    </w:p>
    <w:p w14:paraId="09771C7F" w14:textId="703FCF26" w:rsidR="0033022F" w:rsidRPr="00124754" w:rsidRDefault="0033022F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26" w:name="_Toc204681893"/>
      <w:r w:rsidRPr="00124754">
        <w:rPr>
          <w:szCs w:val="24"/>
          <w:lang w:val="lv-LV"/>
        </w:rPr>
        <w:t>Apmācība un informētība</w:t>
      </w:r>
      <w:bookmarkEnd w:id="26"/>
    </w:p>
    <w:p w14:paraId="77EB40C8" w14:textId="77777777" w:rsidR="00816018" w:rsidRPr="00124754" w:rsidRDefault="00816018" w:rsidP="00124754">
      <w:pPr>
        <w:spacing w:after="120" w:line="240" w:lineRule="auto"/>
        <w:mirrorIndents/>
      </w:pPr>
      <w:r w:rsidRPr="00124754">
        <w:t xml:space="preserve">Organizācija nodrošina darbiniekiem regulāras apmācības, kampaņas un ievadinstruktāžas par </w:t>
      </w:r>
      <w:proofErr w:type="spellStart"/>
      <w:r w:rsidRPr="00124754">
        <w:lastRenderedPageBreak/>
        <w:t>kiberdrošību</w:t>
      </w:r>
      <w:proofErr w:type="spellEnd"/>
      <w:r w:rsidRPr="00124754">
        <w:t>, lai veicinātu izpratni un stiprinātu drošības kultūru.</w:t>
      </w:r>
    </w:p>
    <w:p w14:paraId="7171A91E" w14:textId="361113C1" w:rsidR="0033022F" w:rsidRPr="00124754" w:rsidRDefault="0033022F" w:rsidP="00124754">
      <w:pPr>
        <w:pStyle w:val="ListParagraph"/>
        <w:numPr>
          <w:ilvl w:val="0"/>
          <w:numId w:val="26"/>
        </w:numPr>
        <w:spacing w:after="0" w:line="240" w:lineRule="auto"/>
        <w:ind w:left="567"/>
        <w:contextualSpacing w:val="0"/>
        <w:mirrorIndents/>
      </w:pPr>
      <w:r w:rsidRPr="00124754">
        <w:t xml:space="preserve">Lietotāju apmācību plāni </w:t>
      </w:r>
      <w:proofErr w:type="spellStart"/>
      <w:r w:rsidRPr="00124754">
        <w:t>kiberdrošības</w:t>
      </w:r>
      <w:proofErr w:type="spellEnd"/>
      <w:r w:rsidRPr="00124754">
        <w:t xml:space="preserve"> jomā.</w:t>
      </w:r>
    </w:p>
    <w:p w14:paraId="34584FF8" w14:textId="3071CD79" w:rsidR="0033022F" w:rsidRPr="00124754" w:rsidRDefault="0033022F" w:rsidP="00124754">
      <w:pPr>
        <w:pStyle w:val="ListParagraph"/>
        <w:numPr>
          <w:ilvl w:val="0"/>
          <w:numId w:val="26"/>
        </w:numPr>
        <w:spacing w:after="0" w:line="240" w:lineRule="auto"/>
        <w:ind w:left="567"/>
        <w:contextualSpacing w:val="0"/>
        <w:mirrorIndents/>
      </w:pPr>
      <w:r w:rsidRPr="00124754">
        <w:t>Ikgadēja zināšanu pārbaude vai kampaņas.</w:t>
      </w:r>
    </w:p>
    <w:p w14:paraId="104561A4" w14:textId="77777777" w:rsidR="00851C07" w:rsidRPr="00124754" w:rsidRDefault="00851C07" w:rsidP="00124754">
      <w:pPr>
        <w:pStyle w:val="ListParagraph"/>
        <w:spacing w:after="0" w:line="240" w:lineRule="auto"/>
        <w:ind w:left="567"/>
        <w:contextualSpacing w:val="0"/>
        <w:mirrorIndents/>
      </w:pPr>
    </w:p>
    <w:p w14:paraId="0350161F" w14:textId="40B4534C" w:rsidR="00063BF0" w:rsidRPr="00124754" w:rsidRDefault="00063BF0" w:rsidP="00124754">
      <w:pPr>
        <w:pStyle w:val="Heading2"/>
        <w:rPr>
          <w:szCs w:val="24"/>
          <w:lang w:val="lv-LV"/>
        </w:rPr>
      </w:pPr>
      <w:bookmarkStart w:id="27" w:name="_Toc204681894"/>
      <w:r w:rsidRPr="00124754">
        <w:rPr>
          <w:szCs w:val="24"/>
          <w:lang w:val="lv-LV"/>
        </w:rPr>
        <w:t>Tīkla un darba staciju drošība</w:t>
      </w:r>
      <w:bookmarkEnd w:id="27"/>
    </w:p>
    <w:p w14:paraId="3AD4BC5E" w14:textId="06B8E20E" w:rsidR="00851C07" w:rsidRPr="00124754" w:rsidRDefault="00851C07" w:rsidP="00124754">
      <w:pPr>
        <w:spacing w:after="120" w:line="240" w:lineRule="auto"/>
        <w:mirrorIndents/>
      </w:pPr>
      <w:r w:rsidRPr="00124754">
        <w:t>Tīkla aizsardzības pasākumi (ugunsmūri, IDS/IPS, segmentācija), datu šifrēšana, gala iekārtu kontrole un drošība, uzraudzība un incidentu noteikšana.</w:t>
      </w:r>
    </w:p>
    <w:p w14:paraId="291E864F" w14:textId="5E017CB7" w:rsidR="00063BF0" w:rsidRPr="00124754" w:rsidRDefault="0063771F" w:rsidP="008B793F">
      <w:pPr>
        <w:spacing w:after="120" w:line="240" w:lineRule="auto"/>
        <w:contextualSpacing/>
        <w:mirrorIndents/>
      </w:pPr>
      <w:r w:rsidRPr="00124754">
        <w:t>Informācija par to kā d</w:t>
      </w:r>
      <w:r w:rsidR="00063BF0" w:rsidRPr="00124754">
        <w:t xml:space="preserve">arbiniekiem </w:t>
      </w:r>
      <w:r w:rsidR="00816018" w:rsidRPr="00124754">
        <w:t xml:space="preserve">piešķirtajiem resursiem </w:t>
      </w:r>
      <w:r w:rsidR="00063BF0" w:rsidRPr="00124754">
        <w:t>tiek noteiktas pārbaudes, uzsākot darbu, tā laikā un to pabeidzot:</w:t>
      </w:r>
    </w:p>
    <w:p w14:paraId="1313534D" w14:textId="50AC6EB6" w:rsidR="00063BF0" w:rsidRPr="00124754" w:rsidRDefault="00631CE4" w:rsidP="00124754">
      <w:pPr>
        <w:pStyle w:val="ListParagraph"/>
        <w:numPr>
          <w:ilvl w:val="0"/>
          <w:numId w:val="4"/>
        </w:numPr>
        <w:spacing w:after="0" w:line="240" w:lineRule="auto"/>
        <w:ind w:left="567"/>
        <w:contextualSpacing w:val="0"/>
        <w:mirrorIndents/>
      </w:pPr>
      <w:r w:rsidRPr="00124754">
        <w:t>v</w:t>
      </w:r>
      <w:r w:rsidR="00063BF0" w:rsidRPr="00124754">
        <w:t>izuāla pārbaude (bojājumi, plombas, drošības uzlīmes);</w:t>
      </w:r>
    </w:p>
    <w:p w14:paraId="676F7934" w14:textId="4777371E" w:rsidR="00063BF0" w:rsidRPr="00124754" w:rsidRDefault="00631CE4" w:rsidP="00124754">
      <w:pPr>
        <w:pStyle w:val="ListParagraph"/>
        <w:numPr>
          <w:ilvl w:val="0"/>
          <w:numId w:val="4"/>
        </w:numPr>
        <w:spacing w:after="0" w:line="240" w:lineRule="auto"/>
        <w:ind w:left="567"/>
        <w:contextualSpacing w:val="0"/>
        <w:mirrorIndents/>
      </w:pPr>
      <w:r w:rsidRPr="00124754">
        <w:t>informācijas s</w:t>
      </w:r>
      <w:r w:rsidR="00063BF0" w:rsidRPr="00124754">
        <w:t>istēmas darbības anomāliju novērošana;</w:t>
      </w:r>
    </w:p>
    <w:p w14:paraId="4C70E5E1" w14:textId="6FD3AB90" w:rsidR="00063BF0" w:rsidRPr="00124754" w:rsidRDefault="00631CE4" w:rsidP="00124754">
      <w:pPr>
        <w:pStyle w:val="ListParagraph"/>
        <w:numPr>
          <w:ilvl w:val="0"/>
          <w:numId w:val="4"/>
        </w:numPr>
        <w:spacing w:after="0" w:line="240" w:lineRule="auto"/>
        <w:ind w:left="567"/>
        <w:contextualSpacing w:val="0"/>
        <w:mirrorIndents/>
      </w:pPr>
      <w:r w:rsidRPr="00124754">
        <w:t>a</w:t>
      </w:r>
      <w:r w:rsidR="00063BF0" w:rsidRPr="00124754">
        <w:t>izvēršana un bloķēšana darba pārtraukumā.</w:t>
      </w:r>
    </w:p>
    <w:p w14:paraId="222FD204" w14:textId="7CDBF500" w:rsidR="00063BF0" w:rsidRPr="00124754" w:rsidRDefault="00063BF0" w:rsidP="00124754">
      <w:pPr>
        <w:pStyle w:val="Heading2"/>
        <w:rPr>
          <w:szCs w:val="24"/>
          <w:lang w:val="lv-LV"/>
        </w:rPr>
      </w:pPr>
      <w:bookmarkStart w:id="28" w:name="_Toc204681895"/>
      <w:r w:rsidRPr="00124754">
        <w:rPr>
          <w:szCs w:val="24"/>
          <w:lang w:val="lv-LV"/>
        </w:rPr>
        <w:t>Piekļuves kontrole, šifrēšana un atjauninājumi</w:t>
      </w:r>
      <w:bookmarkEnd w:id="28"/>
    </w:p>
    <w:p w14:paraId="5811929F" w14:textId="69FF60AD" w:rsidR="00851C07" w:rsidRPr="00124754" w:rsidRDefault="00851C07" w:rsidP="00124754">
      <w:pPr>
        <w:spacing w:after="0" w:line="240" w:lineRule="auto"/>
        <w:mirrorIndents/>
      </w:pPr>
      <w:r w:rsidRPr="00124754">
        <w:t>RBAC, MFA, datu šifrēšana, drošības ielāpi un programmatūras komponentu regulāra atjaunināšana.</w:t>
      </w:r>
    </w:p>
    <w:p w14:paraId="2D599EC0" w14:textId="5263AE0D" w:rsidR="00063BF0" w:rsidRPr="00124754" w:rsidRDefault="00124754" w:rsidP="00124754">
      <w:pPr>
        <w:pStyle w:val="Heading2"/>
        <w:rPr>
          <w:szCs w:val="24"/>
          <w:lang w:val="lv-LV"/>
        </w:rPr>
      </w:pPr>
      <w:bookmarkStart w:id="29" w:name="_Toc204681896"/>
      <w:r>
        <w:rPr>
          <w:szCs w:val="24"/>
          <w:lang w:val="lv-LV"/>
        </w:rPr>
        <w:t>Programmatūras izstrādes drošība</w:t>
      </w:r>
      <w:bookmarkEnd w:id="29"/>
    </w:p>
    <w:p w14:paraId="0AA326BB" w14:textId="2CE19377" w:rsidR="00851C07" w:rsidRPr="00124754" w:rsidRDefault="00851C07" w:rsidP="00124754">
      <w:pPr>
        <w:spacing w:after="0" w:line="240" w:lineRule="auto"/>
        <w:mirrorIndents/>
      </w:pPr>
      <w:proofErr w:type="spellStart"/>
      <w:r w:rsidRPr="00124754">
        <w:t>Secure</w:t>
      </w:r>
      <w:proofErr w:type="spellEnd"/>
      <w:r w:rsidRPr="00124754">
        <w:t xml:space="preserve"> SDLC: drošības prasību integrācija izstrādē, kodu pārskatīšana, SAST/DAST testēšana, ievainojamību pārvaldība</w:t>
      </w:r>
      <w:r w:rsidR="004B4A77">
        <w:t>, ja aktuāl</w:t>
      </w:r>
      <w:r w:rsidR="004226D7">
        <w:t>i.</w:t>
      </w:r>
    </w:p>
    <w:p w14:paraId="36AA0810" w14:textId="648FF45D" w:rsidR="00063BF0" w:rsidRPr="00124754" w:rsidRDefault="00063BF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30" w:name="_Toc204681897"/>
      <w:r w:rsidRPr="00124754">
        <w:rPr>
          <w:szCs w:val="24"/>
          <w:lang w:val="lv-LV"/>
        </w:rPr>
        <w:t>Konfigurāciju pārvaldība un privileģētā piekļuve</w:t>
      </w:r>
      <w:bookmarkEnd w:id="30"/>
    </w:p>
    <w:p w14:paraId="5139DA0C" w14:textId="78A473FE" w:rsidR="00851C07" w:rsidRPr="00124754" w:rsidRDefault="00851C07" w:rsidP="00124754">
      <w:pPr>
        <w:spacing w:after="0" w:line="240" w:lineRule="auto"/>
        <w:mirrorIndents/>
      </w:pPr>
      <w:r w:rsidRPr="00124754">
        <w:t>Privileģēto kontu pārvaldība (RBAC, JIT, MFA), konfigurāciju kontrole, SIEM uzraudzība, regulāri auditi.</w:t>
      </w:r>
    </w:p>
    <w:p w14:paraId="3C8A1C59" w14:textId="039ADA05" w:rsidR="00063BF0" w:rsidRPr="00124754" w:rsidRDefault="00FF23CC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31" w:name="_Toc204681898"/>
      <w:r w:rsidR="00063BF0" w:rsidRPr="00124754">
        <w:rPr>
          <w:szCs w:val="24"/>
          <w:lang w:val="lv-LV"/>
        </w:rPr>
        <w:t>Kaitīgā programmatūra (</w:t>
      </w:r>
      <w:proofErr w:type="spellStart"/>
      <w:r w:rsidR="00063BF0" w:rsidRPr="00364815">
        <w:rPr>
          <w:i/>
          <w:iCs/>
          <w:szCs w:val="24"/>
          <w:lang w:val="lv-LV"/>
        </w:rPr>
        <w:t>Malware</w:t>
      </w:r>
      <w:proofErr w:type="spellEnd"/>
      <w:r w:rsidR="00063BF0" w:rsidRPr="00124754">
        <w:rPr>
          <w:szCs w:val="24"/>
          <w:lang w:val="lv-LV"/>
        </w:rPr>
        <w:t>) un aizsardzība</w:t>
      </w:r>
      <w:bookmarkEnd w:id="31"/>
    </w:p>
    <w:p w14:paraId="3741012E" w14:textId="0D4756FF" w:rsidR="00A425AF" w:rsidRPr="00124754" w:rsidRDefault="00851C07" w:rsidP="00124754">
      <w:pPr>
        <w:spacing w:after="0" w:line="240" w:lineRule="auto"/>
        <w:mirrorIndents/>
      </w:pPr>
      <w:r w:rsidRPr="00124754">
        <w:t xml:space="preserve">Aizsardzība pret </w:t>
      </w:r>
      <w:proofErr w:type="spellStart"/>
      <w:r w:rsidRPr="00124754">
        <w:t>ļaunatūru</w:t>
      </w:r>
      <w:proofErr w:type="spellEnd"/>
      <w:r w:rsidRPr="00124754">
        <w:t>: antivīrusi, protokolu ierobežošana, tikai atļautu darbību politika,</w:t>
      </w:r>
      <w:r w:rsidR="00124754">
        <w:t xml:space="preserve"> “nulles uzticamības” princips (</w:t>
      </w:r>
      <w:proofErr w:type="spellStart"/>
      <w:r w:rsidR="00124754" w:rsidRPr="00124754">
        <w:rPr>
          <w:i/>
          <w:iCs/>
        </w:rPr>
        <w:t>zero</w:t>
      </w:r>
      <w:proofErr w:type="spellEnd"/>
      <w:r w:rsidR="00124754" w:rsidRPr="00124754">
        <w:rPr>
          <w:i/>
          <w:iCs/>
        </w:rPr>
        <w:t xml:space="preserve"> </w:t>
      </w:r>
      <w:proofErr w:type="spellStart"/>
      <w:r w:rsidR="00124754" w:rsidRPr="00124754">
        <w:rPr>
          <w:i/>
          <w:iCs/>
        </w:rPr>
        <w:t>trust</w:t>
      </w:r>
      <w:proofErr w:type="spellEnd"/>
      <w:r w:rsidR="00124754">
        <w:t>).</w:t>
      </w:r>
    </w:p>
    <w:p w14:paraId="2CDFA0BE" w14:textId="429182FE" w:rsidR="00A425AF" w:rsidRPr="00124754" w:rsidRDefault="00A425AF" w:rsidP="00124754">
      <w:pPr>
        <w:pStyle w:val="Heading2"/>
        <w:rPr>
          <w:szCs w:val="24"/>
          <w:lang w:val="lv-LV"/>
        </w:rPr>
      </w:pPr>
      <w:bookmarkStart w:id="32" w:name="_Toc204681899"/>
      <w:r w:rsidRPr="00124754">
        <w:rPr>
          <w:szCs w:val="24"/>
          <w:lang w:val="lv-LV"/>
        </w:rPr>
        <w:t>Ārpakalpojumu pārvaldība</w:t>
      </w:r>
      <w:bookmarkEnd w:id="32"/>
    </w:p>
    <w:p w14:paraId="06F593B8" w14:textId="1D72C7DA" w:rsidR="00851C07" w:rsidRPr="00124754" w:rsidRDefault="00851C07" w:rsidP="00124754">
      <w:pPr>
        <w:spacing w:after="0" w:line="240" w:lineRule="auto"/>
        <w:mirrorIndents/>
      </w:pPr>
      <w:r w:rsidRPr="00124754">
        <w:t>Līgumos iekļautas drošības prasības, riska novērtējums, uzraudzība, datu nodošana trešajām pusēm, rezerves plāni</w:t>
      </w:r>
      <w:r w:rsidR="00816018" w:rsidRPr="00124754">
        <w:t>, t.sk., atbilstība normatīvo aktu prasībām</w:t>
      </w:r>
    </w:p>
    <w:p w14:paraId="36B38D06" w14:textId="5FEAC5DF" w:rsidR="00063BF0" w:rsidRPr="00124754" w:rsidRDefault="00063BF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33" w:name="_Toc204681900"/>
      <w:r w:rsidR="00F26EB1" w:rsidRPr="00124754">
        <w:rPr>
          <w:szCs w:val="24"/>
          <w:lang w:val="lv-LV"/>
        </w:rPr>
        <w:t>U</w:t>
      </w:r>
      <w:r w:rsidRPr="00124754">
        <w:rPr>
          <w:szCs w:val="24"/>
          <w:lang w:val="lv-LV"/>
        </w:rPr>
        <w:t>zraudzība</w:t>
      </w:r>
      <w:r w:rsidR="00F26EB1" w:rsidRPr="00124754">
        <w:rPr>
          <w:szCs w:val="24"/>
          <w:lang w:val="lv-LV"/>
        </w:rPr>
        <w:t>, žurnālfaili</w:t>
      </w:r>
      <w:r w:rsidRPr="00124754">
        <w:rPr>
          <w:szCs w:val="24"/>
          <w:lang w:val="lv-LV"/>
        </w:rPr>
        <w:t xml:space="preserve"> un auditi</w:t>
      </w:r>
      <w:bookmarkEnd w:id="33"/>
    </w:p>
    <w:p w14:paraId="372DCEA5" w14:textId="5B72E56F" w:rsidR="00851C07" w:rsidRPr="00124754" w:rsidRDefault="00851C07" w:rsidP="00124754">
      <w:pPr>
        <w:spacing w:after="120" w:line="240" w:lineRule="auto"/>
        <w:mirrorIndents/>
      </w:pPr>
      <w:r w:rsidRPr="00124754">
        <w:t>Iekšējie/ārējie auditi, SIEM, logu pārvaldība, konfigurācijas kontrole, incidentu analīze un uzlabošanas pasākumi.</w:t>
      </w:r>
    </w:p>
    <w:p w14:paraId="1588D33A" w14:textId="27EA3520" w:rsidR="00063BF0" w:rsidRPr="00124754" w:rsidRDefault="00063BF0" w:rsidP="00124754">
      <w:pPr>
        <w:pStyle w:val="Heading2"/>
        <w:rPr>
          <w:szCs w:val="24"/>
          <w:lang w:val="lv-LV"/>
        </w:rPr>
      </w:pPr>
      <w:bookmarkStart w:id="34" w:name="_Toc204681901"/>
      <w:r w:rsidRPr="00124754">
        <w:rPr>
          <w:szCs w:val="24"/>
          <w:lang w:val="lv-LV"/>
        </w:rPr>
        <w:t>Datu rezerves kopēšana un atjaunošana</w:t>
      </w:r>
      <w:bookmarkEnd w:id="34"/>
    </w:p>
    <w:p w14:paraId="6CCC1E34" w14:textId="5769C552" w:rsidR="00851C07" w:rsidRPr="00124754" w:rsidRDefault="00851C07" w:rsidP="00124754">
      <w:pPr>
        <w:rPr>
          <w:lang w:eastAsia="en-US"/>
        </w:rPr>
      </w:pPr>
      <w:r w:rsidRPr="00124754">
        <w:rPr>
          <w:lang w:eastAsia="en-US"/>
        </w:rPr>
        <w:t xml:space="preserve">Regulāri dublējumi, dažādi </w:t>
      </w:r>
      <w:r w:rsidR="00D71B19" w:rsidRPr="00124754">
        <w:rPr>
          <w:lang w:eastAsia="en-US"/>
        </w:rPr>
        <w:t xml:space="preserve">rezerves kopiju </w:t>
      </w:r>
      <w:r w:rsidRPr="00124754">
        <w:rPr>
          <w:lang w:eastAsia="en-US"/>
        </w:rPr>
        <w:t>veidi, dokumentēti atjaunošanas plāni ar testēšanu.</w:t>
      </w:r>
    </w:p>
    <w:p w14:paraId="4FF1CE77" w14:textId="454B306E" w:rsidR="00480735" w:rsidRPr="00124754" w:rsidRDefault="00480735" w:rsidP="00124754">
      <w:pPr>
        <w:pStyle w:val="Heading2"/>
        <w:ind w:left="425" w:hanging="425"/>
        <w:rPr>
          <w:szCs w:val="24"/>
          <w:lang w:val="lv-LV"/>
        </w:rPr>
      </w:pPr>
      <w:bookmarkStart w:id="35" w:name="_Toc204681902"/>
      <w:r w:rsidRPr="00124754">
        <w:rPr>
          <w:szCs w:val="24"/>
          <w:lang w:val="lv-LV"/>
        </w:rPr>
        <w:t>Izn</w:t>
      </w:r>
      <w:r w:rsidR="008D03DA" w:rsidRPr="00124754">
        <w:rPr>
          <w:szCs w:val="24"/>
          <w:lang w:val="lv-LV"/>
        </w:rPr>
        <w:t>ī</w:t>
      </w:r>
      <w:r w:rsidRPr="00124754">
        <w:rPr>
          <w:szCs w:val="24"/>
          <w:lang w:val="lv-LV"/>
        </w:rPr>
        <w:t>cināšana</w:t>
      </w:r>
      <w:bookmarkEnd w:id="35"/>
    </w:p>
    <w:p w14:paraId="3B04D306" w14:textId="5245CF2E" w:rsidR="00851C07" w:rsidRPr="00124754" w:rsidRDefault="00851C07" w:rsidP="00124754">
      <w:pPr>
        <w:rPr>
          <w:lang w:eastAsia="en-US"/>
        </w:rPr>
      </w:pPr>
      <w:r w:rsidRPr="00124754">
        <w:rPr>
          <w:lang w:eastAsia="en-US"/>
        </w:rPr>
        <w:t xml:space="preserve">Politikas un procedūras </w:t>
      </w:r>
      <w:proofErr w:type="spellStart"/>
      <w:r w:rsidR="00364815">
        <w:rPr>
          <w:lang w:eastAsia="en-US"/>
        </w:rPr>
        <w:t>sensitīvo</w:t>
      </w:r>
      <w:proofErr w:type="spellEnd"/>
      <w:r w:rsidR="00364815">
        <w:rPr>
          <w:lang w:eastAsia="en-US"/>
        </w:rPr>
        <w:t xml:space="preserve"> </w:t>
      </w:r>
      <w:r w:rsidRPr="00124754">
        <w:rPr>
          <w:lang w:eastAsia="en-US"/>
        </w:rPr>
        <w:t xml:space="preserve">datu </w:t>
      </w:r>
      <w:r w:rsidR="00364815">
        <w:rPr>
          <w:lang w:eastAsia="en-US"/>
        </w:rPr>
        <w:t xml:space="preserve">un ierīču </w:t>
      </w:r>
      <w:r w:rsidRPr="00124754">
        <w:rPr>
          <w:lang w:eastAsia="en-US"/>
        </w:rPr>
        <w:t>drošai un pārbaudāmai iznīcināšanai, personāla apmācība</w:t>
      </w:r>
      <w:r w:rsidR="00926102">
        <w:rPr>
          <w:lang w:eastAsia="en-US"/>
        </w:rPr>
        <w:t>s</w:t>
      </w:r>
      <w:r w:rsidRPr="00124754">
        <w:rPr>
          <w:lang w:eastAsia="en-US"/>
        </w:rPr>
        <w:t>.</w:t>
      </w:r>
    </w:p>
    <w:p w14:paraId="7412DD2E" w14:textId="262C79DA" w:rsidR="00063BF0" w:rsidRPr="00124754" w:rsidRDefault="00063BF0" w:rsidP="00124754">
      <w:pPr>
        <w:pStyle w:val="Heading2"/>
        <w:rPr>
          <w:szCs w:val="24"/>
          <w:lang w:val="lv-LV"/>
        </w:rPr>
      </w:pPr>
      <w:bookmarkStart w:id="36" w:name="_Toc204681903"/>
      <w:r w:rsidRPr="00124754">
        <w:rPr>
          <w:szCs w:val="24"/>
          <w:lang w:val="lv-LV"/>
        </w:rPr>
        <w:t>Uzlabošana un korektīvās darbības</w:t>
      </w:r>
      <w:bookmarkEnd w:id="36"/>
    </w:p>
    <w:p w14:paraId="6F859F69" w14:textId="6B03BD0D" w:rsidR="00A31AE5" w:rsidRPr="00124754" w:rsidRDefault="00EF0077" w:rsidP="00124754">
      <w:r w:rsidRPr="00124754">
        <w:t xml:space="preserve">Neatbilstību identificēšana un korekcija, pastāvīga uzlabošana balstīta uz auditiem, </w:t>
      </w:r>
      <w:r w:rsidRPr="00124754">
        <w:lastRenderedPageBreak/>
        <w:t>incidentiem, tehnoloģiju izmaiņām un atsauksmēm.</w:t>
      </w:r>
    </w:p>
    <w:p w14:paraId="17D6DA33" w14:textId="05EC9C78" w:rsidR="00D71B19" w:rsidRPr="00124754" w:rsidRDefault="006A2457" w:rsidP="00124754">
      <w:pPr>
        <w:pStyle w:val="Heading1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24754">
        <w:rPr>
          <w:rFonts w:eastAsia="Times New Roman" w:cs="Times New Roman"/>
          <w:sz w:val="24"/>
          <w:szCs w:val="24"/>
          <w:lang w:eastAsia="en-US"/>
        </w:rPr>
        <w:t xml:space="preserve"> </w:t>
      </w:r>
      <w:bookmarkStart w:id="37" w:name="_Toc204681904"/>
      <w:r w:rsidR="00D71B19" w:rsidRPr="00124754">
        <w:rPr>
          <w:rFonts w:eastAsia="Times New Roman" w:cs="Times New Roman"/>
          <w:sz w:val="24"/>
          <w:szCs w:val="24"/>
          <w:lang w:eastAsia="en-US"/>
        </w:rPr>
        <w:t>INCIDENTU PĀRVALDĪBA</w:t>
      </w:r>
      <w:bookmarkEnd w:id="37"/>
    </w:p>
    <w:p w14:paraId="351BECA0" w14:textId="5D155E7D" w:rsidR="00480735" w:rsidRPr="00124754" w:rsidRDefault="0060547B" w:rsidP="00124754">
      <w:pPr>
        <w:pStyle w:val="Heading2"/>
        <w:rPr>
          <w:szCs w:val="24"/>
        </w:rPr>
      </w:pPr>
      <w:bookmarkStart w:id="38" w:name="_Toc204681905"/>
      <w:r w:rsidRPr="00124754">
        <w:rPr>
          <w:szCs w:val="24"/>
        </w:rPr>
        <w:t>ATBILDĪBAS SADALĪJUMS</w:t>
      </w:r>
      <w:bookmarkEnd w:id="38"/>
      <w:r w:rsidR="00480735" w:rsidRPr="00124754">
        <w:rPr>
          <w:szCs w:val="24"/>
        </w:rPr>
        <w:t xml:space="preserve"> </w:t>
      </w:r>
    </w:p>
    <w:p w14:paraId="0B518388" w14:textId="64C2A210" w:rsidR="00480735" w:rsidRPr="00124754" w:rsidRDefault="0063771F" w:rsidP="00124754">
      <w:pPr>
        <w:spacing w:after="120" w:line="240" w:lineRule="auto"/>
        <w:mirrorIndents/>
      </w:pPr>
      <w:r w:rsidRPr="00124754">
        <w:t xml:space="preserve">Informācija par to kā </w:t>
      </w:r>
      <w:r w:rsidR="008113EE" w:rsidRPr="00124754">
        <w:t>tiek noteikts</w:t>
      </w:r>
      <w:r w:rsidRPr="00124754">
        <w:t xml:space="preserve"> </w:t>
      </w:r>
      <w:r w:rsidR="00480735" w:rsidRPr="00124754">
        <w:t xml:space="preserve">kurš </w:t>
      </w:r>
      <w:r w:rsidR="008113EE" w:rsidRPr="00124754">
        <w:t xml:space="preserve">izpilda, atbildīgs, </w:t>
      </w:r>
      <w:r w:rsidR="00480735" w:rsidRPr="00124754">
        <w:t>iesaistīts vai informējams katrā incidentu pārvaldības posmā.</w:t>
      </w:r>
    </w:p>
    <w:p w14:paraId="05C8D81A" w14:textId="57CA7C7D" w:rsidR="00A752CA" w:rsidRPr="00124754" w:rsidRDefault="00A752CA" w:rsidP="00124754">
      <w:pPr>
        <w:spacing w:after="120" w:line="240" w:lineRule="auto"/>
        <w:mirrorIndents/>
      </w:pPr>
      <w:r w:rsidRPr="00124754">
        <w:rPr>
          <w:b/>
          <w:bCs/>
        </w:rPr>
        <w:t>R</w:t>
      </w:r>
      <w:r w:rsidRPr="00124754">
        <w:t xml:space="preserve"> – </w:t>
      </w:r>
      <w:proofErr w:type="spellStart"/>
      <w:r w:rsidRPr="00124754">
        <w:rPr>
          <w:i/>
          <w:iCs/>
        </w:rPr>
        <w:t>Responsible</w:t>
      </w:r>
      <w:proofErr w:type="spellEnd"/>
      <w:r w:rsidRPr="00124754">
        <w:t xml:space="preserve"> (Izpildītājs): persona vai personas, kas praktiski veic uzdevumu.</w:t>
      </w:r>
    </w:p>
    <w:p w14:paraId="051706F6" w14:textId="5B4FF832" w:rsidR="00A752CA" w:rsidRPr="00124754" w:rsidRDefault="00A752CA" w:rsidP="00124754">
      <w:pPr>
        <w:spacing w:after="120" w:line="240" w:lineRule="auto"/>
        <w:mirrorIndents/>
      </w:pPr>
      <w:r w:rsidRPr="00124754">
        <w:rPr>
          <w:b/>
          <w:bCs/>
        </w:rPr>
        <w:t>A</w:t>
      </w:r>
      <w:r w:rsidRPr="00124754">
        <w:t xml:space="preserve"> – </w:t>
      </w:r>
      <w:proofErr w:type="spellStart"/>
      <w:r w:rsidRPr="00124754">
        <w:rPr>
          <w:i/>
          <w:iCs/>
        </w:rPr>
        <w:t>Accountable</w:t>
      </w:r>
      <w:proofErr w:type="spellEnd"/>
      <w:r w:rsidRPr="00124754">
        <w:t xml:space="preserve"> (Atbildīgais): persona, kas nes atbildību par uzdevuma veikšanu un pieņem gala lēmumu. Parasti ir tikai viens “</w:t>
      </w:r>
      <w:proofErr w:type="spellStart"/>
      <w:r w:rsidRPr="00926102">
        <w:rPr>
          <w:i/>
          <w:iCs/>
        </w:rPr>
        <w:t>Accountable</w:t>
      </w:r>
      <w:proofErr w:type="spellEnd"/>
      <w:r w:rsidRPr="00124754">
        <w:t>”.</w:t>
      </w:r>
    </w:p>
    <w:p w14:paraId="5F72C799" w14:textId="316651D8" w:rsidR="00A752CA" w:rsidRPr="00124754" w:rsidRDefault="00A752CA" w:rsidP="00124754">
      <w:pPr>
        <w:spacing w:after="120" w:line="240" w:lineRule="auto"/>
        <w:mirrorIndents/>
      </w:pPr>
      <w:r w:rsidRPr="00124754">
        <w:rPr>
          <w:b/>
          <w:bCs/>
        </w:rPr>
        <w:t>C</w:t>
      </w:r>
      <w:r w:rsidRPr="00124754">
        <w:t xml:space="preserve"> – </w:t>
      </w:r>
      <w:proofErr w:type="spellStart"/>
      <w:r w:rsidRPr="00124754">
        <w:rPr>
          <w:i/>
          <w:iCs/>
        </w:rPr>
        <w:t>Consulted</w:t>
      </w:r>
      <w:proofErr w:type="spellEnd"/>
      <w:r w:rsidRPr="00124754">
        <w:t xml:space="preserve"> (Iesaistītais): cilvēki, ar kuriem jākonsultējas pirms rīcības, jo viņiem ir būtiskas zināšanas vai ietekme.</w:t>
      </w:r>
    </w:p>
    <w:p w14:paraId="19D02F29" w14:textId="03BA205D" w:rsidR="00A752CA" w:rsidRPr="00124754" w:rsidRDefault="00A752CA" w:rsidP="00124754">
      <w:pPr>
        <w:spacing w:after="120" w:line="240" w:lineRule="auto"/>
        <w:mirrorIndents/>
      </w:pPr>
      <w:r w:rsidRPr="00124754">
        <w:rPr>
          <w:b/>
          <w:bCs/>
        </w:rPr>
        <w:t>I</w:t>
      </w:r>
      <w:r w:rsidRPr="00124754">
        <w:t xml:space="preserve"> – </w:t>
      </w:r>
      <w:proofErr w:type="spellStart"/>
      <w:r w:rsidRPr="00124754">
        <w:rPr>
          <w:i/>
          <w:iCs/>
        </w:rPr>
        <w:t>Informed</w:t>
      </w:r>
      <w:proofErr w:type="spellEnd"/>
      <w:r w:rsidRPr="00124754">
        <w:t xml:space="preserve"> (Informējamais): personas, kurām jāzina, kas notiek, bet kuras nav iesaistītas lēmumu pieņemšanā vai praktiskā darbā.</w:t>
      </w:r>
    </w:p>
    <w:p w14:paraId="44B2B29E" w14:textId="153D7BB7" w:rsidR="00A752CA" w:rsidRPr="00124754" w:rsidRDefault="00926102" w:rsidP="00124754">
      <w:pPr>
        <w:spacing w:after="120" w:line="240" w:lineRule="auto"/>
        <w:mirrorIndents/>
      </w:pPr>
      <w:r>
        <w:t>Atbildības sadalījuma piemērs:</w:t>
      </w:r>
    </w:p>
    <w:tbl>
      <w:tblPr>
        <w:tblStyle w:val="LightList1"/>
        <w:tblW w:w="9493" w:type="dxa"/>
        <w:tblLook w:val="04A0" w:firstRow="1" w:lastRow="0" w:firstColumn="1" w:lastColumn="0" w:noHBand="0" w:noVBand="1"/>
      </w:tblPr>
      <w:tblGrid>
        <w:gridCol w:w="2121"/>
        <w:gridCol w:w="1843"/>
        <w:gridCol w:w="1701"/>
        <w:gridCol w:w="1701"/>
        <w:gridCol w:w="2127"/>
      </w:tblGrid>
      <w:tr w:rsidR="00480735" w:rsidRPr="00124754" w14:paraId="473C35DD" w14:textId="77777777" w:rsidTr="00A17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14:paraId="6A69FF98" w14:textId="77777777" w:rsidR="00480735" w:rsidRPr="00124754" w:rsidRDefault="00480735" w:rsidP="00124754">
            <w:pPr>
              <w:spacing w:after="120"/>
              <w:mirrorIndents/>
              <w:rPr>
                <w:lang w:val="lv-LV"/>
              </w:rPr>
            </w:pPr>
            <w:r w:rsidRPr="00124754">
              <w:rPr>
                <w:lang w:val="lv-LV"/>
              </w:rPr>
              <w:t>Aktivitāte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7F7F488D" w14:textId="4536199B" w:rsidR="00480735" w:rsidRPr="00124754" w:rsidRDefault="008113EE" w:rsidP="00124754">
            <w:pPr>
              <w:spacing w:after="120"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Izpildītājs</w:t>
            </w:r>
            <w:r w:rsidR="00480735" w:rsidRPr="00124754">
              <w:rPr>
                <w:lang w:val="lv-LV"/>
              </w:rPr>
              <w:t xml:space="preserve"> (R)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510F3D5C" w14:textId="0C5AD30D" w:rsidR="00480735" w:rsidRPr="00124754" w:rsidRDefault="008113EE" w:rsidP="00124754">
            <w:pPr>
              <w:spacing w:after="120"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 xml:space="preserve">Atbildīgs </w:t>
            </w:r>
            <w:r w:rsidR="00480735" w:rsidRPr="00124754">
              <w:rPr>
                <w:lang w:val="lv-LV"/>
              </w:rPr>
              <w:t>(A)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50B1E13D" w14:textId="77777777" w:rsidR="00480735" w:rsidRPr="00124754" w:rsidRDefault="00480735" w:rsidP="00124754">
            <w:pPr>
              <w:spacing w:after="120"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Iesaistītais (C)</w:t>
            </w:r>
          </w:p>
        </w:tc>
        <w:tc>
          <w:tcPr>
            <w:tcW w:w="2127" w:type="dxa"/>
            <w:shd w:val="clear" w:color="auto" w:fill="F2F2F2" w:themeFill="background1" w:themeFillShade="F2"/>
            <w:hideMark/>
          </w:tcPr>
          <w:p w14:paraId="531AD3CD" w14:textId="77777777" w:rsidR="00480735" w:rsidRPr="00124754" w:rsidRDefault="00480735" w:rsidP="00124754">
            <w:pPr>
              <w:spacing w:after="120"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Informējamais (I)</w:t>
            </w:r>
          </w:p>
        </w:tc>
      </w:tr>
      <w:tr w:rsidR="00480735" w:rsidRPr="00124754" w14:paraId="7B676A27" w14:textId="77777777" w:rsidTr="0012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6BEB49AE" w14:textId="77777777" w:rsidR="00480735" w:rsidRPr="00124754" w:rsidRDefault="00480735" w:rsidP="00124754">
            <w:pPr>
              <w:spacing w:after="120"/>
              <w:mirrorIndents/>
              <w:rPr>
                <w:lang w:val="lv-LV"/>
              </w:rPr>
            </w:pPr>
            <w:r w:rsidRPr="00124754">
              <w:rPr>
                <w:lang w:val="lv-LV"/>
              </w:rPr>
              <w:t>Incidentu identificēšana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C7695B7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IT drošība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C5A70E9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Vadība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4AA75E9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IT personāls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14:paraId="3A7A2843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Vadība</w:t>
            </w:r>
          </w:p>
        </w:tc>
      </w:tr>
      <w:tr w:rsidR="00480735" w:rsidRPr="00124754" w14:paraId="28288BF0" w14:textId="77777777" w:rsidTr="0012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496055E0" w14:textId="77777777" w:rsidR="00480735" w:rsidRPr="00124754" w:rsidRDefault="00480735" w:rsidP="00124754">
            <w:pPr>
              <w:spacing w:after="120"/>
              <w:mirrorIndents/>
              <w:rPr>
                <w:lang w:val="lv-LV"/>
              </w:rPr>
            </w:pPr>
            <w:r w:rsidRPr="00124754">
              <w:rPr>
                <w:lang w:val="lv-LV"/>
              </w:rPr>
              <w:t>Incidentu ziņošana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FCB4805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IT drošība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496B2E6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Vadība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459D52F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Lietotājs, pakalpojumu sniedzēji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14:paraId="25542552" w14:textId="21BD1F13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Vadība</w:t>
            </w:r>
            <w:r w:rsidR="00A82D54" w:rsidRPr="00124754">
              <w:rPr>
                <w:lang w:val="lv-LV"/>
              </w:rPr>
              <w:t>, CERT.LV</w:t>
            </w:r>
          </w:p>
        </w:tc>
      </w:tr>
      <w:tr w:rsidR="00480735" w:rsidRPr="00124754" w14:paraId="4ECA4A0D" w14:textId="77777777" w:rsidTr="0012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368D452A" w14:textId="2CEBC621" w:rsidR="00480735" w:rsidRPr="00124754" w:rsidRDefault="00480735" w:rsidP="00124754">
            <w:pPr>
              <w:spacing w:after="120"/>
              <w:mirrorIndents/>
              <w:rPr>
                <w:lang w:val="lv-LV"/>
              </w:rPr>
            </w:pPr>
            <w:r w:rsidRPr="00124754">
              <w:rPr>
                <w:lang w:val="lv-LV"/>
              </w:rPr>
              <w:t>Incidentu analīze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4A320F7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IT drošība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1349339" w14:textId="2CD8FC43" w:rsidR="00480735" w:rsidRPr="00124754" w:rsidRDefault="00A752CA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IT nodaļa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900D656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Juridiskā nodaļa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14:paraId="702B78E8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Valde, PR</w:t>
            </w:r>
          </w:p>
        </w:tc>
      </w:tr>
      <w:tr w:rsidR="00480735" w:rsidRPr="00124754" w14:paraId="279C6D57" w14:textId="77777777" w:rsidTr="0012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4187B29C" w14:textId="77777777" w:rsidR="00480735" w:rsidRPr="00124754" w:rsidRDefault="00480735" w:rsidP="00124754">
            <w:pPr>
              <w:spacing w:after="120"/>
              <w:mirrorIndents/>
              <w:rPr>
                <w:lang w:val="lv-LV"/>
              </w:rPr>
            </w:pPr>
            <w:r w:rsidRPr="00124754">
              <w:rPr>
                <w:lang w:val="lv-LV"/>
              </w:rPr>
              <w:t>Ierobežošana un novēršana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DDBD501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IT drošība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5874208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Vadība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0FD0F5C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ISP, ārpakalpojumi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14:paraId="37433030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CERT.LV</w:t>
            </w:r>
          </w:p>
        </w:tc>
      </w:tr>
      <w:tr w:rsidR="00480735" w:rsidRPr="00124754" w14:paraId="61142573" w14:textId="77777777" w:rsidTr="0012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371B7C85" w14:textId="77777777" w:rsidR="00480735" w:rsidRPr="00124754" w:rsidRDefault="00480735" w:rsidP="00124754">
            <w:pPr>
              <w:spacing w:after="120"/>
              <w:mirrorIndents/>
              <w:rPr>
                <w:lang w:val="lv-LV"/>
              </w:rPr>
            </w:pPr>
            <w:r w:rsidRPr="00124754">
              <w:rPr>
                <w:lang w:val="lv-LV"/>
              </w:rPr>
              <w:t>Atjaunošana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484D2F5" w14:textId="2D902541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IT</w:t>
            </w:r>
            <w:r w:rsidR="00A82D54" w:rsidRPr="00124754">
              <w:rPr>
                <w:lang w:val="lv-LV"/>
              </w:rPr>
              <w:t xml:space="preserve"> nodaļa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69DD645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Vadība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0320A07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Infrastruktūras atbalsts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14:paraId="2AB79D24" w14:textId="77777777" w:rsidR="00480735" w:rsidRPr="00124754" w:rsidRDefault="00480735" w:rsidP="00124754">
            <w:pPr>
              <w:spacing w:after="12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Biznesa pārstāvji</w:t>
            </w:r>
          </w:p>
        </w:tc>
      </w:tr>
      <w:tr w:rsidR="00480735" w:rsidRPr="00124754" w14:paraId="190D9705" w14:textId="77777777" w:rsidTr="0012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CED8F88" w14:textId="77777777" w:rsidR="00480735" w:rsidRPr="00124754" w:rsidRDefault="00480735" w:rsidP="00124754">
            <w:pPr>
              <w:spacing w:after="120"/>
              <w:mirrorIndents/>
              <w:rPr>
                <w:lang w:val="lv-LV"/>
              </w:rPr>
            </w:pPr>
            <w:r w:rsidRPr="00124754">
              <w:rPr>
                <w:lang w:val="lv-LV"/>
              </w:rPr>
              <w:t>Atskaite un mācīšanās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0A83DAF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CIRT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1531DEA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Vadība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CAF94D1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Atbilstības nodaļa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14:paraId="16ECE4AE" w14:textId="77777777" w:rsidR="00480735" w:rsidRPr="00124754" w:rsidRDefault="00480735" w:rsidP="00124754">
            <w:pPr>
              <w:spacing w:after="12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lv-LV"/>
              </w:rPr>
            </w:pPr>
            <w:r w:rsidRPr="00124754">
              <w:rPr>
                <w:lang w:val="lv-LV"/>
              </w:rPr>
              <w:t>Auditoru pārstāvji</w:t>
            </w:r>
          </w:p>
        </w:tc>
      </w:tr>
    </w:tbl>
    <w:p w14:paraId="2DF8E5F5" w14:textId="05AADDD9" w:rsidR="00480735" w:rsidRPr="00124754" w:rsidRDefault="00480735" w:rsidP="00124754">
      <w:pPr>
        <w:spacing w:after="120" w:line="240" w:lineRule="auto"/>
        <w:mirrorIndents/>
      </w:pPr>
    </w:p>
    <w:p w14:paraId="409AA166" w14:textId="217DDE13" w:rsidR="00480735" w:rsidRPr="00124754" w:rsidRDefault="006A2457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39" w:name="_Toc204681906"/>
      <w:r w:rsidR="00480735" w:rsidRPr="00124754">
        <w:rPr>
          <w:szCs w:val="24"/>
          <w:lang w:val="lv-LV"/>
        </w:rPr>
        <w:t>Sadarbība ar iekšējām un ārējām pusēm</w:t>
      </w:r>
      <w:bookmarkEnd w:id="39"/>
    </w:p>
    <w:p w14:paraId="4FB0A128" w14:textId="0D69FCEF" w:rsidR="0060547B" w:rsidRPr="00124754" w:rsidRDefault="0060547B" w:rsidP="00124754">
      <w:pPr>
        <w:widowControl/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Informācija par to, kā tiek uzturēta sadarbība</w:t>
      </w:r>
      <w:r w:rsidR="00981737" w:rsidRPr="00124754">
        <w:rPr>
          <w:rFonts w:eastAsia="Times New Roman"/>
          <w:lang w:eastAsia="en-US"/>
        </w:rPr>
        <w:t xml:space="preserve"> un komunikācija</w:t>
      </w:r>
      <w:r w:rsidRPr="00124754">
        <w:rPr>
          <w:rFonts w:eastAsia="Times New Roman"/>
          <w:lang w:eastAsia="en-US"/>
        </w:rPr>
        <w:t xml:space="preserve"> ar:</w:t>
      </w:r>
    </w:p>
    <w:p w14:paraId="462357C5" w14:textId="77777777" w:rsidR="0060547B" w:rsidRPr="00124754" w:rsidRDefault="0060547B" w:rsidP="00124754">
      <w:pPr>
        <w:widowControl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IT drošības un incidentu vadības atbildīgajiem;</w:t>
      </w:r>
    </w:p>
    <w:p w14:paraId="54EAEB0B" w14:textId="36190357" w:rsidR="0060547B" w:rsidRPr="00124754" w:rsidRDefault="0060547B" w:rsidP="00124754">
      <w:pPr>
        <w:widowControl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organizācijas vadību (IT direktors, valde);</w:t>
      </w:r>
    </w:p>
    <w:p w14:paraId="78A1E204" w14:textId="3ED83EA0" w:rsidR="00981737" w:rsidRPr="00124754" w:rsidRDefault="00981737" w:rsidP="00124754">
      <w:pPr>
        <w:widowControl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klientiem;</w:t>
      </w:r>
    </w:p>
    <w:p w14:paraId="5347F3F7" w14:textId="77777777" w:rsidR="0060547B" w:rsidRPr="00124754" w:rsidRDefault="0060547B" w:rsidP="00124754">
      <w:pPr>
        <w:widowControl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pakalpojumu sniedzējiem (ISP, datu centri, izstrādātāji);</w:t>
      </w:r>
    </w:p>
    <w:p w14:paraId="0A6724F3" w14:textId="6F48409A" w:rsidR="0060547B" w:rsidRPr="00124754" w:rsidRDefault="0060547B" w:rsidP="00124754">
      <w:pPr>
        <w:widowControl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proofErr w:type="spellStart"/>
      <w:r w:rsidRPr="00124754">
        <w:rPr>
          <w:rFonts w:eastAsia="Times New Roman"/>
          <w:lang w:eastAsia="en-US"/>
        </w:rPr>
        <w:t>tiesībsargājošām</w:t>
      </w:r>
      <w:proofErr w:type="spellEnd"/>
      <w:r w:rsidRPr="00124754">
        <w:rPr>
          <w:rFonts w:eastAsia="Times New Roman"/>
          <w:lang w:eastAsia="en-US"/>
        </w:rPr>
        <w:t xml:space="preserve"> iestādēm (Valsts policija</w:t>
      </w:r>
      <w:r w:rsidR="00A752CA" w:rsidRPr="00124754">
        <w:rPr>
          <w:rFonts w:eastAsia="Times New Roman"/>
          <w:lang w:eastAsia="en-US"/>
        </w:rPr>
        <w:t>, utt.</w:t>
      </w:r>
      <w:r w:rsidRPr="00124754">
        <w:rPr>
          <w:rFonts w:eastAsia="Times New Roman"/>
          <w:lang w:eastAsia="en-US"/>
        </w:rPr>
        <w:t>)</w:t>
      </w:r>
      <w:r w:rsidR="00394DFF" w:rsidRPr="00124754">
        <w:rPr>
          <w:rFonts w:eastAsia="Times New Roman"/>
          <w:lang w:eastAsia="en-US"/>
        </w:rPr>
        <w:t xml:space="preserve">, </w:t>
      </w:r>
      <w:proofErr w:type="spellStart"/>
      <w:r w:rsidR="00394DFF" w:rsidRPr="00124754">
        <w:rPr>
          <w:rFonts w:eastAsia="Times New Roman"/>
          <w:lang w:eastAsia="en-US"/>
        </w:rPr>
        <w:t>kiberincidentu</w:t>
      </w:r>
      <w:proofErr w:type="spellEnd"/>
      <w:r w:rsidR="00394DFF" w:rsidRPr="00124754">
        <w:rPr>
          <w:rFonts w:eastAsia="Times New Roman"/>
          <w:lang w:eastAsia="en-US"/>
        </w:rPr>
        <w:t xml:space="preserve"> novēršanas institūcijām (CERT.LV)</w:t>
      </w:r>
      <w:r w:rsidRPr="00124754">
        <w:rPr>
          <w:rFonts w:eastAsia="Times New Roman"/>
          <w:lang w:eastAsia="en-US"/>
        </w:rPr>
        <w:t xml:space="preserve">. </w:t>
      </w:r>
    </w:p>
    <w:p w14:paraId="79E43ECE" w14:textId="0853043A" w:rsidR="00480735" w:rsidRPr="00124754" w:rsidRDefault="006A2457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40" w:name="_Toc204681907"/>
      <w:r w:rsidR="00480735" w:rsidRPr="00124754">
        <w:rPr>
          <w:szCs w:val="24"/>
          <w:lang w:val="lv-LV"/>
        </w:rPr>
        <w:t>Darbības pēc incidenta</w:t>
      </w:r>
      <w:bookmarkEnd w:id="40"/>
    </w:p>
    <w:p w14:paraId="7AF3583E" w14:textId="47673D53" w:rsidR="0060547B" w:rsidRPr="00124754" w:rsidRDefault="0060547B" w:rsidP="00124754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Pēc riska iestāšanās tiek veiktas šādas darbības:</w:t>
      </w:r>
    </w:p>
    <w:p w14:paraId="648D4126" w14:textId="77777777" w:rsidR="0060547B" w:rsidRPr="00124754" w:rsidRDefault="0060547B" w:rsidP="00124754">
      <w:pPr>
        <w:widowControl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cēloņu analīze un risku izvērtēšana;</w:t>
      </w:r>
    </w:p>
    <w:p w14:paraId="1A094E1C" w14:textId="77777777" w:rsidR="0060547B" w:rsidRPr="00124754" w:rsidRDefault="0060547B" w:rsidP="00124754">
      <w:pPr>
        <w:widowControl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lastRenderedPageBreak/>
        <w:t>politiku, procedūru un kontroles mehānismu pārskatīšana;</w:t>
      </w:r>
    </w:p>
    <w:p w14:paraId="720652F3" w14:textId="089E346D" w:rsidR="0060547B" w:rsidRPr="00124754" w:rsidRDefault="0060547B" w:rsidP="00124754">
      <w:pPr>
        <w:widowControl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darbinieku informēšana un apmācība</w:t>
      </w:r>
      <w:r w:rsidR="00926102">
        <w:rPr>
          <w:rFonts w:eastAsia="Times New Roman"/>
          <w:lang w:eastAsia="en-US"/>
        </w:rPr>
        <w:t>s</w:t>
      </w:r>
      <w:r w:rsidR="00C5499B" w:rsidRPr="00124754">
        <w:rPr>
          <w:rFonts w:eastAsia="Times New Roman"/>
          <w:lang w:eastAsia="en-US"/>
        </w:rPr>
        <w:t>, balstoties uz incidenta laikā gūtajām mācībām,</w:t>
      </w:r>
      <w:r w:rsidR="00926102">
        <w:rPr>
          <w:rFonts w:eastAsia="Times New Roman"/>
          <w:lang w:eastAsia="en-US"/>
        </w:rPr>
        <w:t xml:space="preserve"> l</w:t>
      </w:r>
      <w:r w:rsidR="00C5499B" w:rsidRPr="00124754">
        <w:rPr>
          <w:rFonts w:eastAsia="Times New Roman"/>
          <w:lang w:eastAsia="en-US"/>
        </w:rPr>
        <w:t>ai novērstu līdzīgu gadījumu atkārtošanos nākotnē</w:t>
      </w:r>
      <w:r w:rsidRPr="00124754">
        <w:rPr>
          <w:rFonts w:eastAsia="Times New Roman"/>
          <w:lang w:eastAsia="en-US"/>
        </w:rPr>
        <w:t>;</w:t>
      </w:r>
    </w:p>
    <w:p w14:paraId="77A918C1" w14:textId="77777777" w:rsidR="0060547B" w:rsidRPr="00124754" w:rsidRDefault="0060547B" w:rsidP="00124754">
      <w:pPr>
        <w:widowControl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līgumu (SLA/OLA) un sadarbības nosacījumu pārskatīšana.</w:t>
      </w:r>
    </w:p>
    <w:p w14:paraId="7A7BE21E" w14:textId="030B04FA" w:rsidR="00480735" w:rsidRPr="00124754" w:rsidRDefault="00C20BC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41" w:name="_Toc204681908"/>
      <w:r w:rsidR="00480735" w:rsidRPr="00124754">
        <w:rPr>
          <w:szCs w:val="24"/>
          <w:lang w:val="lv-LV"/>
        </w:rPr>
        <w:t>Uzraudzība un nepārtraukta uzlabošana</w:t>
      </w:r>
      <w:bookmarkEnd w:id="41"/>
    </w:p>
    <w:p w14:paraId="5ED29E80" w14:textId="2A17A417" w:rsidR="0060547B" w:rsidRPr="00124754" w:rsidRDefault="0060547B" w:rsidP="00124754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Informācija par to, kā tiek uzturēta risku pārvaldības kvalitāte:</w:t>
      </w:r>
    </w:p>
    <w:p w14:paraId="5117900F" w14:textId="77777777" w:rsidR="0060547B" w:rsidRPr="00124754" w:rsidRDefault="0060547B" w:rsidP="00124754">
      <w:pPr>
        <w:widowControl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regulāri auditi un testēšana;</w:t>
      </w:r>
    </w:p>
    <w:p w14:paraId="0FFE6E16" w14:textId="77777777" w:rsidR="0060547B" w:rsidRPr="00124754" w:rsidRDefault="0060547B" w:rsidP="00124754">
      <w:pPr>
        <w:widowControl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SIEM un DLP sistēmu izmantošana uzraudzībai;</w:t>
      </w:r>
    </w:p>
    <w:p w14:paraId="2ED20547" w14:textId="77777777" w:rsidR="0060547B" w:rsidRPr="00124754" w:rsidRDefault="0060547B" w:rsidP="00124754">
      <w:pPr>
        <w:widowControl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korektīvās un preventīvās darbības pēc incidentiem;</w:t>
      </w:r>
    </w:p>
    <w:p w14:paraId="618BFC9D" w14:textId="2BB21963" w:rsidR="00AA1D34" w:rsidRPr="00124754" w:rsidRDefault="0060547B" w:rsidP="00124754">
      <w:pPr>
        <w:widowControl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politiku un plānu regulāra pārskatīšana un pilnveidošana.</w:t>
      </w:r>
    </w:p>
    <w:p w14:paraId="2D68350B" w14:textId="33E81CD0" w:rsidR="000F5F6E" w:rsidRPr="00124754" w:rsidRDefault="009D3815" w:rsidP="00124754">
      <w:pPr>
        <w:pStyle w:val="Heading1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bookmarkStart w:id="42" w:name="_Toc204681909"/>
      <w:r w:rsidRPr="00124754">
        <w:rPr>
          <w:rFonts w:eastAsia="Times New Roman" w:cs="Times New Roman"/>
          <w:sz w:val="24"/>
          <w:szCs w:val="24"/>
          <w:lang w:eastAsia="en-US"/>
        </w:rPr>
        <w:t>ATBILSTĪBAS PĀRBAUDE</w:t>
      </w:r>
      <w:bookmarkEnd w:id="42"/>
      <w:r w:rsidR="0074731D" w:rsidRPr="00124754">
        <w:rPr>
          <w:rFonts w:eastAsia="Times New Roman" w:cs="Times New Roman"/>
          <w:sz w:val="24"/>
          <w:szCs w:val="24"/>
          <w:lang w:eastAsia="en-US"/>
        </w:rPr>
        <w:t xml:space="preserve"> </w:t>
      </w:r>
    </w:p>
    <w:p w14:paraId="4EBCF6BB" w14:textId="489EAD72" w:rsidR="00C20BC0" w:rsidRPr="00124754" w:rsidRDefault="00C20BC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43" w:name="_Toc204681910"/>
      <w:r w:rsidR="000F5F6E" w:rsidRPr="00124754">
        <w:rPr>
          <w:szCs w:val="24"/>
          <w:lang w:val="lv-LV"/>
        </w:rPr>
        <w:t xml:space="preserve">Atbilstība </w:t>
      </w:r>
      <w:r w:rsidR="00394DFF" w:rsidRPr="00124754">
        <w:rPr>
          <w:szCs w:val="24"/>
          <w:lang w:val="lv-LV"/>
        </w:rPr>
        <w:t>normatīvajiem aktiem</w:t>
      </w:r>
      <w:bookmarkEnd w:id="43"/>
      <w:r w:rsidR="006A2457" w:rsidRPr="00124754">
        <w:rPr>
          <w:szCs w:val="24"/>
          <w:lang w:val="lv-LV"/>
        </w:rPr>
        <w:t xml:space="preserve"> </w:t>
      </w:r>
    </w:p>
    <w:p w14:paraId="11C7B167" w14:textId="719F5541" w:rsidR="000F5F6E" w:rsidRPr="00124754" w:rsidRDefault="009C7865" w:rsidP="00124754">
      <w:pPr>
        <w:spacing w:after="120" w:line="240" w:lineRule="auto"/>
        <w:mirrorIndents/>
        <w:rPr>
          <w:lang w:eastAsia="en-US"/>
        </w:rPr>
      </w:pPr>
      <w:r w:rsidRPr="00124754">
        <w:rPr>
          <w:lang w:eastAsia="en-US"/>
        </w:rPr>
        <w:t>Informācija par to kā n</w:t>
      </w:r>
      <w:r w:rsidR="000F5F6E" w:rsidRPr="00124754">
        <w:rPr>
          <w:lang w:eastAsia="en-US"/>
        </w:rPr>
        <w:t xml:space="preserve">odrošināt, ka informācijas sistēma atbilst visām piemērojamām </w:t>
      </w:r>
      <w:r w:rsidR="00926102">
        <w:rPr>
          <w:lang w:eastAsia="en-US"/>
        </w:rPr>
        <w:t>normatīvajām</w:t>
      </w:r>
      <w:r w:rsidR="00DF2919" w:rsidRPr="00124754">
        <w:rPr>
          <w:lang w:eastAsia="en-US"/>
        </w:rPr>
        <w:t xml:space="preserve"> </w:t>
      </w:r>
      <w:r w:rsidR="000F5F6E" w:rsidRPr="00124754">
        <w:rPr>
          <w:lang w:eastAsia="en-US"/>
        </w:rPr>
        <w:t xml:space="preserve">prasībām un </w:t>
      </w:r>
      <w:r w:rsidR="002A0CF7" w:rsidRPr="00124754">
        <w:rPr>
          <w:lang w:eastAsia="en-US"/>
        </w:rPr>
        <w:t xml:space="preserve">speciālajam </w:t>
      </w:r>
      <w:proofErr w:type="spellStart"/>
      <w:r w:rsidR="002A0CF7" w:rsidRPr="00124754">
        <w:rPr>
          <w:lang w:eastAsia="en-US"/>
        </w:rPr>
        <w:t>regulējuma</w:t>
      </w:r>
      <w:r w:rsidR="00926102">
        <w:rPr>
          <w:lang w:eastAsia="en-US"/>
        </w:rPr>
        <w:t>s</w:t>
      </w:r>
      <w:proofErr w:type="spellEnd"/>
      <w:r w:rsidR="000F5F6E" w:rsidRPr="00124754">
        <w:rPr>
          <w:lang w:eastAsia="en-US"/>
        </w:rPr>
        <w:t xml:space="preserve">, piemēram, </w:t>
      </w:r>
      <w:r w:rsidR="002A0CF7" w:rsidRPr="00124754">
        <w:rPr>
          <w:lang w:eastAsia="en-US"/>
        </w:rPr>
        <w:t xml:space="preserve">VDAR attiecībā uz personu </w:t>
      </w:r>
      <w:r w:rsidR="000F5F6E" w:rsidRPr="00124754">
        <w:rPr>
          <w:lang w:eastAsia="en-US"/>
        </w:rPr>
        <w:t xml:space="preserve">datu aizsardzībai </w:t>
      </w:r>
      <w:r w:rsidR="00926102">
        <w:rPr>
          <w:lang w:eastAsia="en-US"/>
        </w:rPr>
        <w:t xml:space="preserve">ES, </w:t>
      </w:r>
      <w:proofErr w:type="spellStart"/>
      <w:r w:rsidR="00926102">
        <w:rPr>
          <w:lang w:eastAsia="en-US"/>
        </w:rPr>
        <w:t>nozarspecifiskiem</w:t>
      </w:r>
      <w:proofErr w:type="spellEnd"/>
      <w:r w:rsidR="00926102">
        <w:rPr>
          <w:lang w:eastAsia="en-US"/>
        </w:rPr>
        <w:t xml:space="preserve"> tiesību aktiem</w:t>
      </w:r>
      <w:r w:rsidR="000F5F6E" w:rsidRPr="00124754">
        <w:rPr>
          <w:lang w:eastAsia="en-US"/>
        </w:rPr>
        <w:t>.</w:t>
      </w:r>
    </w:p>
    <w:p w14:paraId="6AF61A23" w14:textId="6C6E249C" w:rsidR="00C20BC0" w:rsidRPr="00124754" w:rsidRDefault="00C20BC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44" w:name="_Toc204681911"/>
      <w:r w:rsidRPr="00124754">
        <w:rPr>
          <w:szCs w:val="24"/>
          <w:lang w:val="lv-LV"/>
        </w:rPr>
        <w:t>Atbilstība drošības prasībām</w:t>
      </w:r>
      <w:bookmarkEnd w:id="44"/>
    </w:p>
    <w:p w14:paraId="312DEF79" w14:textId="77777777" w:rsidR="00A31AE5" w:rsidRPr="00124754" w:rsidRDefault="00A31AE5" w:rsidP="00683233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Organizācija ievēro </w:t>
      </w:r>
      <w:r w:rsidRPr="00124754">
        <w:rPr>
          <w:rFonts w:eastAsia="Times New Roman"/>
          <w:b/>
          <w:bCs/>
          <w:lang w:eastAsia="en-US"/>
        </w:rPr>
        <w:t>"nepieciešamības zināt"</w:t>
      </w:r>
      <w:r w:rsidRPr="00124754">
        <w:rPr>
          <w:rFonts w:eastAsia="Times New Roman"/>
          <w:lang w:eastAsia="en-US"/>
        </w:rPr>
        <w:t xml:space="preserve"> principu, piešķirot piekļuvi tikai atbilstoši amata pienākumiem. Šis princips tiek ieviests ar:</w:t>
      </w:r>
    </w:p>
    <w:p w14:paraId="21481220" w14:textId="14DBEF29" w:rsidR="002A0CF7" w:rsidRPr="00124754" w:rsidRDefault="00A31AE5" w:rsidP="00683233">
      <w:pPr>
        <w:widowControl/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lomu balstītu piekļuves kontroli (RBAC)</w:t>
      </w:r>
      <w:r w:rsidR="00926102">
        <w:rPr>
          <w:rFonts w:eastAsia="Times New Roman"/>
          <w:lang w:eastAsia="en-US"/>
        </w:rPr>
        <w:t>;</w:t>
      </w:r>
    </w:p>
    <w:p w14:paraId="4A48B3AC" w14:textId="51A324F6" w:rsidR="00A31AE5" w:rsidRPr="00124754" w:rsidRDefault="002A0CF7" w:rsidP="00683233">
      <w:pPr>
        <w:widowControl/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identitāšu un piekļuves pārvaldību (IAM)</w:t>
      </w:r>
      <w:r w:rsidR="00926102">
        <w:rPr>
          <w:rFonts w:eastAsia="Times New Roman"/>
          <w:lang w:eastAsia="en-US"/>
        </w:rPr>
        <w:t>;</w:t>
      </w:r>
    </w:p>
    <w:p w14:paraId="1AD7D810" w14:textId="7ACDE175" w:rsidR="00387C22" w:rsidRPr="00124754" w:rsidRDefault="00387C22" w:rsidP="00683233">
      <w:pPr>
        <w:widowControl/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minimālās piekļuves tiesības principa izmantošana (</w:t>
      </w:r>
      <w:r w:rsidRPr="00124754">
        <w:rPr>
          <w:rFonts w:eastAsia="Times New Roman"/>
          <w:i/>
          <w:iCs/>
          <w:lang w:val="en-US" w:eastAsia="en-US"/>
        </w:rPr>
        <w:t>least privilege</w:t>
      </w:r>
      <w:r w:rsidRPr="00124754">
        <w:rPr>
          <w:rFonts w:eastAsia="Times New Roman"/>
          <w:lang w:eastAsia="en-US"/>
        </w:rPr>
        <w:t>)</w:t>
      </w:r>
      <w:r w:rsidR="00926102">
        <w:rPr>
          <w:rFonts w:eastAsia="Times New Roman"/>
          <w:lang w:eastAsia="en-US"/>
        </w:rPr>
        <w:t>;</w:t>
      </w:r>
    </w:p>
    <w:p w14:paraId="6221A898" w14:textId="1C34A305" w:rsidR="00A31AE5" w:rsidRPr="00124754" w:rsidRDefault="00A31AE5" w:rsidP="00683233">
      <w:pPr>
        <w:widowControl/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regulāru piekļuves pārskatīšanu</w:t>
      </w:r>
      <w:r w:rsidR="00926102">
        <w:rPr>
          <w:rFonts w:eastAsia="Times New Roman"/>
          <w:lang w:eastAsia="en-US"/>
        </w:rPr>
        <w:t>;</w:t>
      </w:r>
    </w:p>
    <w:p w14:paraId="404DCAA0" w14:textId="6FA4F4BD" w:rsidR="00A31AE5" w:rsidRDefault="00A31AE5" w:rsidP="00683233">
      <w:pPr>
        <w:widowControl/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privātuma un konfidencialitātes aizsardzīb</w:t>
      </w:r>
      <w:r w:rsidR="002A0CF7" w:rsidRPr="00124754">
        <w:rPr>
          <w:rFonts w:eastAsia="Times New Roman"/>
          <w:lang w:eastAsia="en-US"/>
        </w:rPr>
        <w:t>as līdzekļiem</w:t>
      </w:r>
      <w:r w:rsidRPr="00124754">
        <w:rPr>
          <w:rFonts w:eastAsia="Times New Roman"/>
          <w:lang w:eastAsia="en-US"/>
        </w:rPr>
        <w:t>.</w:t>
      </w:r>
    </w:p>
    <w:p w14:paraId="264DE70E" w14:textId="77777777" w:rsidR="00683233" w:rsidRPr="00124754" w:rsidRDefault="00683233" w:rsidP="00683233">
      <w:pPr>
        <w:widowControl/>
        <w:spacing w:before="100" w:beforeAutospacing="1" w:after="100" w:afterAutospacing="1" w:line="240" w:lineRule="auto"/>
        <w:ind w:left="720"/>
        <w:contextualSpacing/>
        <w:rPr>
          <w:rFonts w:eastAsia="Times New Roman"/>
          <w:lang w:eastAsia="en-US"/>
        </w:rPr>
      </w:pPr>
    </w:p>
    <w:p w14:paraId="03633C30" w14:textId="77777777" w:rsidR="00A31AE5" w:rsidRPr="00124754" w:rsidRDefault="00A31AE5" w:rsidP="00683233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Organizācija pārvalda informācijas aktīvus visā to dzīves ciklā, nodrošinot:</w:t>
      </w:r>
    </w:p>
    <w:p w14:paraId="1108ABAC" w14:textId="0CE2EEFB" w:rsidR="00A31AE5" w:rsidRPr="00124754" w:rsidRDefault="00A31AE5" w:rsidP="00683233">
      <w:pPr>
        <w:widowControl/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identificēšanu, klasifikāciju un īpašnieku noteikšanu</w:t>
      </w:r>
      <w:r w:rsidR="00926102">
        <w:rPr>
          <w:rFonts w:eastAsia="Times New Roman"/>
          <w:lang w:eastAsia="en-US"/>
        </w:rPr>
        <w:t>;</w:t>
      </w:r>
    </w:p>
    <w:p w14:paraId="14AE9BBC" w14:textId="305ADA1C" w:rsidR="00A31AE5" w:rsidRPr="00124754" w:rsidRDefault="00A31AE5" w:rsidP="00683233">
      <w:pPr>
        <w:widowControl/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datu aizsardzību (tai skaitā personas datu)</w:t>
      </w:r>
      <w:r w:rsidR="00926102">
        <w:rPr>
          <w:rFonts w:eastAsia="Times New Roman"/>
          <w:lang w:eastAsia="en-US"/>
        </w:rPr>
        <w:t>;</w:t>
      </w:r>
    </w:p>
    <w:p w14:paraId="09994242" w14:textId="269A3C54" w:rsidR="00A31AE5" w:rsidRDefault="00A31AE5" w:rsidP="00683233">
      <w:pPr>
        <w:widowControl/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glabāšanas termiņu un drošas iznīcināšanas noteikšanu.</w:t>
      </w:r>
    </w:p>
    <w:p w14:paraId="06092A60" w14:textId="77777777" w:rsidR="00683233" w:rsidRPr="00124754" w:rsidRDefault="00683233" w:rsidP="00683233">
      <w:pPr>
        <w:widowControl/>
        <w:spacing w:before="100" w:beforeAutospacing="1" w:after="100" w:afterAutospacing="1" w:line="240" w:lineRule="auto"/>
        <w:ind w:left="720"/>
        <w:contextualSpacing/>
        <w:rPr>
          <w:rFonts w:eastAsia="Times New Roman"/>
          <w:lang w:eastAsia="en-US"/>
        </w:rPr>
      </w:pPr>
    </w:p>
    <w:p w14:paraId="578F91FA" w14:textId="77777777" w:rsidR="00A31AE5" w:rsidRPr="00124754" w:rsidRDefault="00A31AE5" w:rsidP="00683233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IT arhitektūra tiek plānota pēc drošības principiem (“</w:t>
      </w:r>
      <w:proofErr w:type="spellStart"/>
      <w:r w:rsidRPr="00683233">
        <w:rPr>
          <w:rFonts w:eastAsia="Times New Roman"/>
          <w:i/>
          <w:iCs/>
          <w:lang w:eastAsia="en-US"/>
        </w:rPr>
        <w:t>security</w:t>
      </w:r>
      <w:proofErr w:type="spellEnd"/>
      <w:r w:rsidRPr="00683233">
        <w:rPr>
          <w:rFonts w:eastAsia="Times New Roman"/>
          <w:i/>
          <w:iCs/>
          <w:lang w:eastAsia="en-US"/>
        </w:rPr>
        <w:t xml:space="preserve"> </w:t>
      </w:r>
      <w:proofErr w:type="spellStart"/>
      <w:r w:rsidRPr="00683233">
        <w:rPr>
          <w:rFonts w:eastAsia="Times New Roman"/>
          <w:i/>
          <w:iCs/>
          <w:lang w:eastAsia="en-US"/>
        </w:rPr>
        <w:t>by</w:t>
      </w:r>
      <w:proofErr w:type="spellEnd"/>
      <w:r w:rsidRPr="00683233">
        <w:rPr>
          <w:rFonts w:eastAsia="Times New Roman"/>
          <w:i/>
          <w:iCs/>
          <w:lang w:eastAsia="en-US"/>
        </w:rPr>
        <w:t xml:space="preserve"> </w:t>
      </w:r>
      <w:proofErr w:type="spellStart"/>
      <w:r w:rsidRPr="00683233">
        <w:rPr>
          <w:rFonts w:eastAsia="Times New Roman"/>
          <w:i/>
          <w:iCs/>
          <w:lang w:eastAsia="en-US"/>
        </w:rPr>
        <w:t>design</w:t>
      </w:r>
      <w:proofErr w:type="spellEnd"/>
      <w:r w:rsidRPr="00124754">
        <w:rPr>
          <w:rFonts w:eastAsia="Times New Roman"/>
          <w:lang w:eastAsia="en-US"/>
        </w:rPr>
        <w:t>”), iekļaujot:</w:t>
      </w:r>
    </w:p>
    <w:p w14:paraId="39DFFFE8" w14:textId="19561E4D" w:rsidR="00A31AE5" w:rsidRPr="00124754" w:rsidRDefault="00A31AE5" w:rsidP="00683233">
      <w:pPr>
        <w:widowControl/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ievainojamību novēršanu tīmekļa un </w:t>
      </w:r>
      <w:r w:rsidR="00A752CA" w:rsidRPr="00124754">
        <w:rPr>
          <w:rFonts w:eastAsia="Times New Roman"/>
          <w:lang w:eastAsia="en-US"/>
        </w:rPr>
        <w:t>lietojumprogrammas</w:t>
      </w:r>
      <w:r w:rsidRPr="00124754">
        <w:rPr>
          <w:rFonts w:eastAsia="Times New Roman"/>
          <w:lang w:eastAsia="en-US"/>
        </w:rPr>
        <w:t xml:space="preserve"> līmenī</w:t>
      </w:r>
      <w:r w:rsidR="00683233">
        <w:rPr>
          <w:rFonts w:eastAsia="Times New Roman"/>
          <w:lang w:eastAsia="en-US"/>
        </w:rPr>
        <w:t>;</w:t>
      </w:r>
    </w:p>
    <w:p w14:paraId="61694A2F" w14:textId="78DCDD21" w:rsidR="00A31AE5" w:rsidRDefault="00A31AE5" w:rsidP="00683233">
      <w:pPr>
        <w:widowControl/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drošu infrastruktūras un </w:t>
      </w:r>
      <w:r w:rsidR="00A752CA" w:rsidRPr="00124754">
        <w:rPr>
          <w:rFonts w:eastAsia="Times New Roman"/>
          <w:lang w:eastAsia="en-US"/>
        </w:rPr>
        <w:t xml:space="preserve">lietojumprogrammu </w:t>
      </w:r>
      <w:r w:rsidRPr="00124754">
        <w:rPr>
          <w:rFonts w:eastAsia="Times New Roman"/>
          <w:lang w:eastAsia="en-US"/>
        </w:rPr>
        <w:t>izstrādi</w:t>
      </w:r>
      <w:r w:rsidR="00A752CA" w:rsidRPr="00124754">
        <w:rPr>
          <w:rFonts w:eastAsia="Times New Roman"/>
          <w:lang w:eastAsia="en-US"/>
        </w:rPr>
        <w:t xml:space="preserve"> un ieviešanu, ja saistoši.</w:t>
      </w:r>
    </w:p>
    <w:p w14:paraId="4C1C2ADB" w14:textId="77777777" w:rsidR="00683233" w:rsidRPr="00124754" w:rsidRDefault="00683233" w:rsidP="00683233">
      <w:pPr>
        <w:widowControl/>
        <w:spacing w:before="100" w:beforeAutospacing="1" w:after="100" w:afterAutospacing="1" w:line="240" w:lineRule="auto"/>
        <w:ind w:left="720"/>
        <w:contextualSpacing/>
        <w:rPr>
          <w:rFonts w:eastAsia="Times New Roman"/>
          <w:lang w:eastAsia="en-US"/>
        </w:rPr>
      </w:pPr>
    </w:p>
    <w:p w14:paraId="1F4FE44A" w14:textId="77777777" w:rsidR="00A31AE5" w:rsidRPr="00124754" w:rsidRDefault="00A31AE5" w:rsidP="00683233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Tīkla drošība tiek nodrošināta ar:</w:t>
      </w:r>
    </w:p>
    <w:p w14:paraId="56F59DFC" w14:textId="62BF8919" w:rsidR="00A31AE5" w:rsidRPr="00124754" w:rsidRDefault="00A31AE5" w:rsidP="00683233">
      <w:pPr>
        <w:widowControl/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segmentāciju, VPN, </w:t>
      </w:r>
      <w:proofErr w:type="spellStart"/>
      <w:r w:rsidRPr="00683233">
        <w:rPr>
          <w:rFonts w:eastAsia="Times New Roman"/>
          <w:i/>
          <w:iCs/>
          <w:lang w:eastAsia="en-US"/>
        </w:rPr>
        <w:t>Zero</w:t>
      </w:r>
      <w:proofErr w:type="spellEnd"/>
      <w:r w:rsidRPr="00683233">
        <w:rPr>
          <w:rFonts w:eastAsia="Times New Roman"/>
          <w:i/>
          <w:iCs/>
          <w:lang w:eastAsia="en-US"/>
        </w:rPr>
        <w:t xml:space="preserve"> </w:t>
      </w:r>
      <w:proofErr w:type="spellStart"/>
      <w:r w:rsidRPr="00683233">
        <w:rPr>
          <w:rFonts w:eastAsia="Times New Roman"/>
          <w:i/>
          <w:iCs/>
          <w:lang w:eastAsia="en-US"/>
        </w:rPr>
        <w:t>Trust</w:t>
      </w:r>
      <w:proofErr w:type="spellEnd"/>
      <w:r w:rsidRPr="00124754">
        <w:rPr>
          <w:rFonts w:eastAsia="Times New Roman"/>
          <w:lang w:eastAsia="en-US"/>
        </w:rPr>
        <w:t xml:space="preserve"> </w:t>
      </w:r>
      <w:r w:rsidR="00683233">
        <w:rPr>
          <w:rFonts w:eastAsia="Times New Roman"/>
          <w:lang w:eastAsia="en-US"/>
        </w:rPr>
        <w:t>principu;</w:t>
      </w:r>
    </w:p>
    <w:p w14:paraId="27BAA1BE" w14:textId="2AB438BB" w:rsidR="00A31AE5" w:rsidRPr="00124754" w:rsidRDefault="00A31AE5" w:rsidP="00683233">
      <w:pPr>
        <w:widowControl/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drošu pārsūtīšanu (TLS, </w:t>
      </w:r>
      <w:proofErr w:type="spellStart"/>
      <w:r w:rsidRPr="00124754">
        <w:rPr>
          <w:rFonts w:eastAsia="Times New Roman"/>
          <w:lang w:eastAsia="en-US"/>
        </w:rPr>
        <w:t>IPsec</w:t>
      </w:r>
      <w:proofErr w:type="spellEnd"/>
      <w:r w:rsidRPr="00124754">
        <w:rPr>
          <w:rFonts w:eastAsia="Times New Roman"/>
          <w:lang w:eastAsia="en-US"/>
        </w:rPr>
        <w:t>)</w:t>
      </w:r>
      <w:r w:rsidR="00683233">
        <w:rPr>
          <w:rFonts w:eastAsia="Times New Roman"/>
          <w:lang w:eastAsia="en-US"/>
        </w:rPr>
        <w:t>;</w:t>
      </w:r>
    </w:p>
    <w:p w14:paraId="3DDBBDA8" w14:textId="0FDE866F" w:rsidR="00A31AE5" w:rsidRPr="00124754" w:rsidRDefault="00A31AE5" w:rsidP="00683233">
      <w:pPr>
        <w:widowControl/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aizsardzību pret tīkla apdraudējumiem (</w:t>
      </w:r>
      <w:proofErr w:type="spellStart"/>
      <w:r w:rsidRPr="00124754">
        <w:rPr>
          <w:rFonts w:eastAsia="Times New Roman"/>
          <w:lang w:eastAsia="en-US"/>
        </w:rPr>
        <w:t>DoS</w:t>
      </w:r>
      <w:proofErr w:type="spellEnd"/>
      <w:r w:rsidRPr="00124754">
        <w:rPr>
          <w:rFonts w:eastAsia="Times New Roman"/>
          <w:lang w:eastAsia="en-US"/>
        </w:rPr>
        <w:t>, MITM u.c.)</w:t>
      </w:r>
      <w:r w:rsidR="00683233">
        <w:rPr>
          <w:rFonts w:eastAsia="Times New Roman"/>
          <w:lang w:eastAsia="en-US"/>
        </w:rPr>
        <w:t>;</w:t>
      </w:r>
    </w:p>
    <w:p w14:paraId="2DCFB224" w14:textId="67752599" w:rsidR="00C20BC0" w:rsidRPr="00F062E2" w:rsidRDefault="00A31AE5" w:rsidP="00F062E2">
      <w:pPr>
        <w:widowControl/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uzraudzību ar IDPS, SIEM un SOC risinājumiem.</w:t>
      </w:r>
    </w:p>
    <w:p w14:paraId="3813B567" w14:textId="026E0EE8" w:rsidR="00063BF0" w:rsidRPr="00124754" w:rsidRDefault="008A3846" w:rsidP="00124754">
      <w:pPr>
        <w:pStyle w:val="Heading1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bookmarkStart w:id="45" w:name="_Toc204681912"/>
      <w:r w:rsidRPr="00124754">
        <w:rPr>
          <w:rFonts w:eastAsia="Times New Roman" w:cs="Times New Roman"/>
          <w:sz w:val="24"/>
          <w:szCs w:val="24"/>
          <w:lang w:eastAsia="en-US"/>
        </w:rPr>
        <w:t>PLĀNOŠANA</w:t>
      </w:r>
      <w:r w:rsidR="00047A76" w:rsidRPr="00124754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124754">
        <w:rPr>
          <w:rFonts w:eastAsia="Times New Roman" w:cs="Times New Roman"/>
          <w:sz w:val="24"/>
          <w:szCs w:val="24"/>
          <w:lang w:eastAsia="en-US"/>
        </w:rPr>
        <w:t xml:space="preserve">UN </w:t>
      </w:r>
      <w:r w:rsidR="0065056B" w:rsidRPr="00124754">
        <w:rPr>
          <w:rFonts w:eastAsia="Times New Roman" w:cs="Times New Roman"/>
          <w:sz w:val="24"/>
          <w:szCs w:val="24"/>
          <w:lang w:eastAsia="en-US"/>
        </w:rPr>
        <w:t>PĀRSKATĪŠANAS</w:t>
      </w:r>
      <w:r w:rsidR="00FF6262" w:rsidRPr="00124754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="00AE220F" w:rsidRPr="00124754">
        <w:rPr>
          <w:rFonts w:eastAsia="Times New Roman" w:cs="Times New Roman"/>
          <w:sz w:val="24"/>
          <w:szCs w:val="24"/>
          <w:lang w:eastAsia="en-US"/>
        </w:rPr>
        <w:t>P</w:t>
      </w:r>
      <w:r w:rsidRPr="00124754">
        <w:rPr>
          <w:rFonts w:eastAsia="Times New Roman" w:cs="Times New Roman"/>
          <w:sz w:val="24"/>
          <w:szCs w:val="24"/>
          <w:lang w:eastAsia="en-US"/>
        </w:rPr>
        <w:t>ASĀKUMI</w:t>
      </w:r>
      <w:bookmarkEnd w:id="45"/>
      <w:r w:rsidR="0074731D" w:rsidRPr="00124754">
        <w:rPr>
          <w:rFonts w:eastAsia="Times New Roman" w:cs="Times New Roman"/>
          <w:sz w:val="24"/>
          <w:szCs w:val="24"/>
          <w:lang w:eastAsia="en-US"/>
        </w:rPr>
        <w:t xml:space="preserve"> </w:t>
      </w:r>
    </w:p>
    <w:p w14:paraId="67230802" w14:textId="6A08ADC0" w:rsidR="00063BF0" w:rsidRPr="00124754" w:rsidRDefault="00C20BC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46" w:name="_Toc204681913"/>
      <w:r w:rsidR="00063BF0" w:rsidRPr="00124754">
        <w:rPr>
          <w:szCs w:val="24"/>
          <w:lang w:val="lv-LV"/>
        </w:rPr>
        <w:t>Informācijas drošības integrācija organizācijas procesos</w:t>
      </w:r>
      <w:bookmarkEnd w:id="46"/>
    </w:p>
    <w:p w14:paraId="0B713E0A" w14:textId="198D99F0" w:rsidR="0060547B" w:rsidRPr="00124754" w:rsidRDefault="0060547B" w:rsidP="00124754">
      <w:pPr>
        <w:spacing w:after="120" w:line="240" w:lineRule="auto"/>
        <w:mirrorIndents/>
      </w:pPr>
      <w:r w:rsidRPr="00124754">
        <w:t>Informācija par to, kā informācijas drošība tiek sistemātiski integrēta organizācijas stratēģijā, operatīvajos procesos un projektos. Plānošana balstīta uz riska novērtējumu, atbilstības prasībām un biznesa mērķiem.</w:t>
      </w:r>
    </w:p>
    <w:p w14:paraId="33E7EBFA" w14:textId="7A208E68" w:rsidR="00063BF0" w:rsidRPr="00124754" w:rsidRDefault="00C20BC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lastRenderedPageBreak/>
        <w:t xml:space="preserve"> </w:t>
      </w:r>
      <w:bookmarkStart w:id="47" w:name="_Toc204681914"/>
      <w:r w:rsidR="00063BF0" w:rsidRPr="00124754">
        <w:rPr>
          <w:szCs w:val="24"/>
          <w:lang w:val="lv-LV"/>
        </w:rPr>
        <w:t>Riska apstrādes pasākumu īstenošana</w:t>
      </w:r>
      <w:bookmarkEnd w:id="47"/>
    </w:p>
    <w:p w14:paraId="328C4419" w14:textId="26526C79" w:rsidR="0060547B" w:rsidRPr="00124754" w:rsidRDefault="0060547B" w:rsidP="00124754">
      <w:pPr>
        <w:spacing w:after="120" w:line="240" w:lineRule="auto"/>
        <w:mirrorIndents/>
      </w:pPr>
      <w:r w:rsidRPr="00124754">
        <w:t>Informācija par to, kā identificētie riski tiek praktiski apstrādāti – ieviešot, uzraugot un dokumentējot kontroles pasākumus, ar mērķi samazināt ietekmi un nepieļaut atkārtošanos. Nodrošināta atgriezeniskā saite efektivitātes novērtēšanai.</w:t>
      </w:r>
    </w:p>
    <w:p w14:paraId="3F76FF83" w14:textId="082E7BD9" w:rsidR="00063BF0" w:rsidRPr="00124754" w:rsidRDefault="00063BF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48" w:name="_Toc204681915"/>
      <w:r w:rsidRPr="00124754">
        <w:rPr>
          <w:szCs w:val="24"/>
          <w:lang w:val="lv-LV"/>
        </w:rPr>
        <w:t>Izmaiņu un konfigurācijas vadība</w:t>
      </w:r>
      <w:bookmarkEnd w:id="48"/>
    </w:p>
    <w:p w14:paraId="6AF55A8D" w14:textId="77777777" w:rsidR="0060547B" w:rsidRPr="00124754" w:rsidRDefault="0060547B" w:rsidP="00683233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Informācija par to, kā organizācija īsteno izmaiņu pārvaldības procesu, kas ietver:</w:t>
      </w:r>
    </w:p>
    <w:p w14:paraId="619FD5E5" w14:textId="77777777" w:rsidR="0060547B" w:rsidRPr="00124754" w:rsidRDefault="0060547B" w:rsidP="00124754">
      <w:pPr>
        <w:widowControl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izmaiņu dokumentēšanu un apstiprināšanu;</w:t>
      </w:r>
    </w:p>
    <w:p w14:paraId="4BDDAA00" w14:textId="77777777" w:rsidR="0060547B" w:rsidRPr="00124754" w:rsidRDefault="0060547B" w:rsidP="00124754">
      <w:pPr>
        <w:widowControl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informācijas drošības ietekmes novērtēšanu;</w:t>
      </w:r>
    </w:p>
    <w:p w14:paraId="11CFACDA" w14:textId="77777777" w:rsidR="0060547B" w:rsidRPr="00124754" w:rsidRDefault="0060547B" w:rsidP="00124754">
      <w:pPr>
        <w:widowControl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konfigurācijas pārvaldības procedūras;</w:t>
      </w:r>
    </w:p>
    <w:p w14:paraId="1080BD0C" w14:textId="63891CC9" w:rsidR="0060547B" w:rsidRPr="00124754" w:rsidRDefault="0060547B" w:rsidP="00124754">
      <w:pPr>
        <w:widowControl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atjaunošanas mehānismus būtisku incidentu gadījumā.</w:t>
      </w:r>
    </w:p>
    <w:p w14:paraId="19EAB7BA" w14:textId="3348535F" w:rsidR="00063BF0" w:rsidRPr="00124754" w:rsidRDefault="00063BF0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49" w:name="_Toc204681916"/>
      <w:r w:rsidR="002A0CF7" w:rsidRPr="00124754">
        <w:rPr>
          <w:szCs w:val="24"/>
          <w:lang w:val="lv-LV"/>
        </w:rPr>
        <w:t xml:space="preserve">Kontroļu </w:t>
      </w:r>
      <w:r w:rsidRPr="00124754">
        <w:rPr>
          <w:szCs w:val="24"/>
          <w:lang w:val="lv-LV"/>
        </w:rPr>
        <w:t>monitorings un izvērtēšana</w:t>
      </w:r>
      <w:bookmarkEnd w:id="49"/>
    </w:p>
    <w:p w14:paraId="5B814562" w14:textId="77777777" w:rsidR="0060547B" w:rsidRPr="00124754" w:rsidRDefault="0060547B" w:rsidP="00683233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Informācija par to, kā tiek mērīta drošības kontroles efektivitāte:</w:t>
      </w:r>
    </w:p>
    <w:p w14:paraId="094FAA8E" w14:textId="77777777" w:rsidR="0060547B" w:rsidRPr="00124754" w:rsidRDefault="0060547B" w:rsidP="00124754">
      <w:pPr>
        <w:widowControl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KPI un citu drošības rādītāju analīze;</w:t>
      </w:r>
    </w:p>
    <w:p w14:paraId="504EB6EB" w14:textId="77777777" w:rsidR="0060547B" w:rsidRPr="00124754" w:rsidRDefault="0060547B" w:rsidP="00124754">
      <w:pPr>
        <w:widowControl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drošības notikumu pārskati (žurnāli, SIEM);</w:t>
      </w:r>
    </w:p>
    <w:p w14:paraId="76CC2B16" w14:textId="77777777" w:rsidR="0060547B" w:rsidRPr="00124754" w:rsidRDefault="0060547B" w:rsidP="00124754">
      <w:pPr>
        <w:widowControl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tendences un draudu attīstības analīze.</w:t>
      </w:r>
    </w:p>
    <w:p w14:paraId="7593262E" w14:textId="2BC4CB25" w:rsidR="00063BF0" w:rsidRPr="00124754" w:rsidRDefault="008B3D44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50" w:name="_Toc204681917"/>
      <w:r w:rsidR="00063BF0" w:rsidRPr="00124754">
        <w:rPr>
          <w:szCs w:val="24"/>
          <w:lang w:val="lv-LV"/>
        </w:rPr>
        <w:t>Iekšējais audits</w:t>
      </w:r>
      <w:r w:rsidR="00676662" w:rsidRPr="00124754">
        <w:rPr>
          <w:szCs w:val="24"/>
          <w:lang w:val="lv-LV"/>
        </w:rPr>
        <w:t xml:space="preserve"> un pašvērtējums</w:t>
      </w:r>
      <w:bookmarkEnd w:id="50"/>
    </w:p>
    <w:p w14:paraId="02720F31" w14:textId="77777777" w:rsidR="0060547B" w:rsidRPr="00124754" w:rsidRDefault="0060547B" w:rsidP="00683233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Informācija par regulāru auditu veikšanu, tostarp:</w:t>
      </w:r>
    </w:p>
    <w:p w14:paraId="6CBD7D86" w14:textId="70CCA7C5" w:rsidR="0060547B" w:rsidRPr="00124754" w:rsidRDefault="008C1E4A" w:rsidP="00124754">
      <w:pPr>
        <w:widowControl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K</w:t>
      </w:r>
      <w:r w:rsidR="0060547B" w:rsidRPr="00124754">
        <w:rPr>
          <w:rFonts w:eastAsia="Times New Roman"/>
          <w:lang w:eastAsia="en-US"/>
        </w:rPr>
        <w:t>ontro</w:t>
      </w:r>
      <w:r w:rsidRPr="00124754">
        <w:rPr>
          <w:rFonts w:eastAsia="Times New Roman"/>
          <w:lang w:eastAsia="en-US"/>
        </w:rPr>
        <w:t>ļu kopuma</w:t>
      </w:r>
      <w:r w:rsidR="0060547B" w:rsidRPr="00124754">
        <w:rPr>
          <w:rFonts w:eastAsia="Times New Roman"/>
          <w:lang w:eastAsia="en-US"/>
        </w:rPr>
        <w:t xml:space="preserve"> efektivitātes pārbaudi;</w:t>
      </w:r>
    </w:p>
    <w:p w14:paraId="3C857CC3" w14:textId="77777777" w:rsidR="0060547B" w:rsidRPr="00124754" w:rsidRDefault="0060547B" w:rsidP="00124754">
      <w:pPr>
        <w:widowControl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neatbilstību identificēšanu;</w:t>
      </w:r>
    </w:p>
    <w:p w14:paraId="681011CA" w14:textId="77777777" w:rsidR="0060547B" w:rsidRPr="00124754" w:rsidRDefault="0060547B" w:rsidP="00124754">
      <w:pPr>
        <w:widowControl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korektīvo pasākumu ieviešanu;</w:t>
      </w:r>
    </w:p>
    <w:p w14:paraId="4B876120" w14:textId="77777777" w:rsidR="0060547B" w:rsidRPr="00124754" w:rsidRDefault="0060547B" w:rsidP="00124754">
      <w:pPr>
        <w:widowControl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 xml:space="preserve">īpašu uzmanību pievēršot IDPS sistēmu </w:t>
      </w:r>
      <w:proofErr w:type="spellStart"/>
      <w:r w:rsidRPr="00124754">
        <w:rPr>
          <w:rFonts w:eastAsia="Times New Roman"/>
          <w:lang w:eastAsia="en-US"/>
        </w:rPr>
        <w:t>izvērtējumam</w:t>
      </w:r>
      <w:proofErr w:type="spellEnd"/>
      <w:r w:rsidRPr="00124754">
        <w:rPr>
          <w:rFonts w:eastAsia="Times New Roman"/>
          <w:lang w:eastAsia="en-US"/>
        </w:rPr>
        <w:t>.</w:t>
      </w:r>
    </w:p>
    <w:p w14:paraId="3CB4F900" w14:textId="2CC881E0" w:rsidR="00063BF0" w:rsidRPr="00124754" w:rsidRDefault="008B3D44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51" w:name="_Toc204681918"/>
      <w:r w:rsidR="00EA653B" w:rsidRPr="00124754">
        <w:rPr>
          <w:szCs w:val="24"/>
          <w:lang w:val="lv-LV"/>
        </w:rPr>
        <w:t>Pārvaldības</w:t>
      </w:r>
      <w:r w:rsidR="00063BF0" w:rsidRPr="00124754">
        <w:rPr>
          <w:szCs w:val="24"/>
          <w:lang w:val="lv-LV"/>
        </w:rPr>
        <w:t xml:space="preserve"> pārskatīšana</w:t>
      </w:r>
      <w:bookmarkEnd w:id="51"/>
    </w:p>
    <w:p w14:paraId="40119FB1" w14:textId="77777777" w:rsidR="0060547B" w:rsidRPr="00124754" w:rsidRDefault="0060547B" w:rsidP="00683233">
      <w:pPr>
        <w:widowControl/>
        <w:spacing w:before="100" w:beforeAutospacing="1" w:after="100" w:afterAutospacing="1" w:line="240" w:lineRule="auto"/>
        <w:contextualSpacing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Informācija par to, kā vadība pārskata informācijas drošības efektivitāti:</w:t>
      </w:r>
    </w:p>
    <w:p w14:paraId="7F2818DF" w14:textId="77777777" w:rsidR="0060547B" w:rsidRPr="00124754" w:rsidRDefault="0060547B" w:rsidP="00124754">
      <w:pPr>
        <w:widowControl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balstoties uz auditēšanas un incidentu datiem;</w:t>
      </w:r>
    </w:p>
    <w:p w14:paraId="404F1F78" w14:textId="77777777" w:rsidR="0060547B" w:rsidRPr="00124754" w:rsidRDefault="0060547B" w:rsidP="00124754">
      <w:pPr>
        <w:widowControl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analizējot risku profila un ārējo prasību izmaiņas;</w:t>
      </w:r>
    </w:p>
    <w:p w14:paraId="36770D32" w14:textId="77777777" w:rsidR="0060547B" w:rsidRPr="00124754" w:rsidRDefault="0060547B" w:rsidP="00124754">
      <w:pPr>
        <w:widowControl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n-US"/>
        </w:rPr>
      </w:pPr>
      <w:r w:rsidRPr="00124754">
        <w:rPr>
          <w:rFonts w:eastAsia="Times New Roman"/>
          <w:lang w:eastAsia="en-US"/>
        </w:rPr>
        <w:t>pielāgojot politikas un resursus stratēģiskajiem mērķiem.</w:t>
      </w:r>
    </w:p>
    <w:p w14:paraId="5F1140EA" w14:textId="0A4C6309" w:rsidR="00063BF0" w:rsidRPr="00124754" w:rsidRDefault="008B3D44" w:rsidP="00124754">
      <w:pPr>
        <w:pStyle w:val="Heading2"/>
        <w:rPr>
          <w:szCs w:val="24"/>
          <w:lang w:val="lv-LV"/>
        </w:rPr>
      </w:pPr>
      <w:r w:rsidRPr="00124754">
        <w:rPr>
          <w:szCs w:val="24"/>
          <w:lang w:val="lv-LV"/>
        </w:rPr>
        <w:t xml:space="preserve"> </w:t>
      </w:r>
      <w:bookmarkStart w:id="52" w:name="_Toc204681919"/>
      <w:r w:rsidR="00063BF0" w:rsidRPr="00124754">
        <w:rPr>
          <w:szCs w:val="24"/>
          <w:lang w:val="lv-LV"/>
        </w:rPr>
        <w:t>Politikas, procedūras un kontroles veidi</w:t>
      </w:r>
      <w:bookmarkEnd w:id="52"/>
    </w:p>
    <w:p w14:paraId="38AB3E56" w14:textId="7A64721E" w:rsidR="00317A3F" w:rsidRPr="00124754" w:rsidRDefault="006B4260" w:rsidP="00124754">
      <w:r w:rsidRPr="00124754">
        <w:t>Informācija par to, kā organizācijā tiek definētas, dokumentētas un regulāri uzturētas drošības politikas, procedūras un apmācības. Praktiskas kontroles tiek piemērotas atbilstoši apdraudējumu raksturam un riska līmenim.</w:t>
      </w:r>
    </w:p>
    <w:p w14:paraId="33F4455F" w14:textId="1B255934" w:rsidR="00063BF0" w:rsidRPr="00124754" w:rsidRDefault="006B4260" w:rsidP="00124754">
      <w:pPr>
        <w:spacing w:after="120" w:line="240" w:lineRule="auto"/>
        <w:mirrorIndents/>
        <w:rPr>
          <w:b/>
          <w:bCs/>
          <w:lang w:eastAsia="en-US"/>
        </w:rPr>
      </w:pPr>
      <w:r w:rsidRPr="00124754">
        <w:rPr>
          <w:b/>
          <w:bCs/>
          <w:lang w:eastAsia="en-US"/>
        </w:rPr>
        <w:t>Piemēram, k</w:t>
      </w:r>
      <w:r w:rsidR="00063BF0" w:rsidRPr="00124754">
        <w:rPr>
          <w:b/>
          <w:bCs/>
          <w:lang w:eastAsia="en-US"/>
        </w:rPr>
        <w:t>ontroles var būt: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063BF0" w:rsidRPr="00124754" w14:paraId="63EA9C97" w14:textId="77777777" w:rsidTr="00317A3F">
        <w:tc>
          <w:tcPr>
            <w:tcW w:w="2972" w:type="dxa"/>
            <w:shd w:val="clear" w:color="auto" w:fill="F2F2F2" w:themeFill="background1" w:themeFillShade="F2"/>
          </w:tcPr>
          <w:p w14:paraId="5CFE725E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Kontroles veids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2876781C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Funkcija</w:t>
            </w:r>
          </w:p>
        </w:tc>
      </w:tr>
      <w:tr w:rsidR="00063BF0" w:rsidRPr="00124754" w14:paraId="25DAC396" w14:textId="77777777" w:rsidTr="00317A3F">
        <w:tc>
          <w:tcPr>
            <w:tcW w:w="2972" w:type="dxa"/>
          </w:tcPr>
          <w:p w14:paraId="3A864591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Preventīvās</w:t>
            </w:r>
          </w:p>
        </w:tc>
        <w:tc>
          <w:tcPr>
            <w:tcW w:w="6089" w:type="dxa"/>
          </w:tcPr>
          <w:p w14:paraId="4C27970E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Novērst apdraudējumus pirms to iestāšanās</w:t>
            </w:r>
          </w:p>
        </w:tc>
      </w:tr>
      <w:tr w:rsidR="00063BF0" w:rsidRPr="00124754" w14:paraId="13882D40" w14:textId="77777777" w:rsidTr="00317A3F">
        <w:tc>
          <w:tcPr>
            <w:tcW w:w="2972" w:type="dxa"/>
          </w:tcPr>
          <w:p w14:paraId="548E209E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Korektīvās</w:t>
            </w:r>
          </w:p>
        </w:tc>
        <w:tc>
          <w:tcPr>
            <w:tcW w:w="6089" w:type="dxa"/>
          </w:tcPr>
          <w:p w14:paraId="6B86200B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Atjaunot sistēmu darbību pēc incidenta</w:t>
            </w:r>
          </w:p>
        </w:tc>
      </w:tr>
      <w:tr w:rsidR="00063BF0" w:rsidRPr="00124754" w14:paraId="00FFF2DC" w14:textId="77777777" w:rsidTr="00317A3F">
        <w:tc>
          <w:tcPr>
            <w:tcW w:w="2972" w:type="dxa"/>
          </w:tcPr>
          <w:p w14:paraId="6A3CAF6A" w14:textId="550B1ACA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proofErr w:type="spellStart"/>
            <w:r w:rsidRPr="00124754">
              <w:rPr>
                <w:lang w:eastAsia="en-US"/>
              </w:rPr>
              <w:t>Detektīvās</w:t>
            </w:r>
            <w:proofErr w:type="spellEnd"/>
            <w:r w:rsidR="008B3D44" w:rsidRPr="00124754">
              <w:rPr>
                <w:lang w:eastAsia="en-US"/>
              </w:rPr>
              <w:t xml:space="preserve"> (identificējošās)</w:t>
            </w:r>
          </w:p>
        </w:tc>
        <w:tc>
          <w:tcPr>
            <w:tcW w:w="6089" w:type="dxa"/>
          </w:tcPr>
          <w:p w14:paraId="35225411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Atklāt un identificēt drošības notikumus</w:t>
            </w:r>
          </w:p>
        </w:tc>
      </w:tr>
      <w:tr w:rsidR="00063BF0" w:rsidRPr="00124754" w14:paraId="6078F138" w14:textId="77777777" w:rsidTr="00317A3F">
        <w:tc>
          <w:tcPr>
            <w:tcW w:w="2972" w:type="dxa"/>
          </w:tcPr>
          <w:p w14:paraId="76149DDD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Atturošās</w:t>
            </w:r>
          </w:p>
        </w:tc>
        <w:tc>
          <w:tcPr>
            <w:tcW w:w="6089" w:type="dxa"/>
          </w:tcPr>
          <w:p w14:paraId="0FF90D1E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Samazināt apdraudējuma iespējamību ar psiholoģisku vai vizuālu efektu</w:t>
            </w:r>
          </w:p>
        </w:tc>
      </w:tr>
      <w:tr w:rsidR="00063BF0" w:rsidRPr="00124754" w14:paraId="31CD444B" w14:textId="77777777" w:rsidTr="00317A3F">
        <w:tc>
          <w:tcPr>
            <w:tcW w:w="2972" w:type="dxa"/>
          </w:tcPr>
          <w:p w14:paraId="1ACAC976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Administratīvās</w:t>
            </w:r>
          </w:p>
        </w:tc>
        <w:tc>
          <w:tcPr>
            <w:tcW w:w="6089" w:type="dxa"/>
          </w:tcPr>
          <w:p w14:paraId="709F7EB8" w14:textId="14305CB0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Noteikt rīcību, atbildības, lēmumu pieņemšanas kārtību</w:t>
            </w:r>
            <w:r w:rsidR="00F062E2">
              <w:rPr>
                <w:lang w:eastAsia="en-US"/>
              </w:rPr>
              <w:t>.</w:t>
            </w:r>
          </w:p>
        </w:tc>
      </w:tr>
    </w:tbl>
    <w:p w14:paraId="6F5DC6FC" w14:textId="5AAFA3FE" w:rsidR="00063BF0" w:rsidRPr="00124754" w:rsidRDefault="00063BF0" w:rsidP="00124754">
      <w:pPr>
        <w:spacing w:after="120" w:line="240" w:lineRule="auto"/>
        <w:mirrorIndents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3"/>
      </w:tblGrid>
      <w:tr w:rsidR="008B3D44" w:rsidRPr="00124754" w14:paraId="15286D85" w14:textId="77777777" w:rsidTr="008B3D44">
        <w:tc>
          <w:tcPr>
            <w:tcW w:w="9061" w:type="dxa"/>
            <w:gridSpan w:val="3"/>
            <w:shd w:val="clear" w:color="auto" w:fill="F2F2F2" w:themeFill="background1" w:themeFillShade="F2"/>
          </w:tcPr>
          <w:p w14:paraId="0F8C51BD" w14:textId="398E84D4" w:rsidR="008B3D44" w:rsidRPr="00124754" w:rsidRDefault="008B3D44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Administratīvās kontroles</w:t>
            </w:r>
          </w:p>
        </w:tc>
      </w:tr>
      <w:tr w:rsidR="00063BF0" w:rsidRPr="00124754" w14:paraId="796E4A98" w14:textId="77777777" w:rsidTr="00317A3F">
        <w:tc>
          <w:tcPr>
            <w:tcW w:w="3020" w:type="dxa"/>
          </w:tcPr>
          <w:p w14:paraId="4AFE4116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Kontroles nosaukums</w:t>
            </w:r>
          </w:p>
        </w:tc>
        <w:tc>
          <w:tcPr>
            <w:tcW w:w="2078" w:type="dxa"/>
          </w:tcPr>
          <w:p w14:paraId="1713C48F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Kontroles veids</w:t>
            </w:r>
          </w:p>
        </w:tc>
        <w:tc>
          <w:tcPr>
            <w:tcW w:w="3963" w:type="dxa"/>
          </w:tcPr>
          <w:p w14:paraId="6C685413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Mērķis</w:t>
            </w:r>
          </w:p>
        </w:tc>
      </w:tr>
      <w:tr w:rsidR="00063BF0" w:rsidRPr="00124754" w14:paraId="6CDACC7D" w14:textId="77777777" w:rsidTr="00317A3F">
        <w:tc>
          <w:tcPr>
            <w:tcW w:w="3020" w:type="dxa"/>
          </w:tcPr>
          <w:p w14:paraId="1730A66D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Minimālās piekļuves tiesības (</w:t>
            </w:r>
            <w:proofErr w:type="spellStart"/>
            <w:r w:rsidRPr="00317A3F">
              <w:rPr>
                <w:i/>
                <w:iCs/>
                <w:lang w:eastAsia="en-US"/>
              </w:rPr>
              <w:t>Least</w:t>
            </w:r>
            <w:proofErr w:type="spellEnd"/>
            <w:r w:rsidRPr="00317A3F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317A3F">
              <w:rPr>
                <w:i/>
                <w:iCs/>
                <w:lang w:eastAsia="en-US"/>
              </w:rPr>
              <w:t>Privilege</w:t>
            </w:r>
            <w:proofErr w:type="spellEnd"/>
            <w:r w:rsidRPr="00124754">
              <w:rPr>
                <w:lang w:eastAsia="en-US"/>
              </w:rPr>
              <w:t>)</w:t>
            </w:r>
          </w:p>
        </w:tc>
        <w:tc>
          <w:tcPr>
            <w:tcW w:w="2078" w:type="dxa"/>
          </w:tcPr>
          <w:p w14:paraId="406D6B28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40B4A2EA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Samazināt apdraudējuma iespēju no iekšējiem draudiem</w:t>
            </w:r>
          </w:p>
        </w:tc>
      </w:tr>
      <w:tr w:rsidR="00063BF0" w:rsidRPr="00124754" w14:paraId="07D82280" w14:textId="77777777" w:rsidTr="00317A3F">
        <w:tc>
          <w:tcPr>
            <w:tcW w:w="3020" w:type="dxa"/>
          </w:tcPr>
          <w:p w14:paraId="20E3BD51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Atkopšanas plāni (</w:t>
            </w:r>
            <w:proofErr w:type="spellStart"/>
            <w:r w:rsidRPr="00317A3F">
              <w:rPr>
                <w:i/>
                <w:iCs/>
                <w:lang w:eastAsia="en-US"/>
              </w:rPr>
              <w:t>Disaster</w:t>
            </w:r>
            <w:proofErr w:type="spellEnd"/>
            <w:r w:rsidRPr="00317A3F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317A3F">
              <w:rPr>
                <w:i/>
                <w:iCs/>
                <w:lang w:eastAsia="en-US"/>
              </w:rPr>
              <w:t>Recovery</w:t>
            </w:r>
            <w:proofErr w:type="spellEnd"/>
            <w:r w:rsidRPr="00317A3F">
              <w:rPr>
                <w:i/>
                <w:iCs/>
                <w:lang w:eastAsia="en-US"/>
              </w:rPr>
              <w:t>)</w:t>
            </w:r>
          </w:p>
        </w:tc>
        <w:tc>
          <w:tcPr>
            <w:tcW w:w="2078" w:type="dxa"/>
          </w:tcPr>
          <w:p w14:paraId="5BE28119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Korektīvā</w:t>
            </w:r>
          </w:p>
        </w:tc>
        <w:tc>
          <w:tcPr>
            <w:tcW w:w="3963" w:type="dxa"/>
          </w:tcPr>
          <w:p w14:paraId="1B7F9086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Nodrošināt uzņēmējdarbības nepārtrauktību</w:t>
            </w:r>
          </w:p>
        </w:tc>
      </w:tr>
      <w:tr w:rsidR="00063BF0" w:rsidRPr="00124754" w14:paraId="652C3846" w14:textId="77777777" w:rsidTr="00317A3F">
        <w:tc>
          <w:tcPr>
            <w:tcW w:w="3020" w:type="dxa"/>
          </w:tcPr>
          <w:p w14:paraId="09B0365C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Paroļu politika</w:t>
            </w:r>
          </w:p>
        </w:tc>
        <w:tc>
          <w:tcPr>
            <w:tcW w:w="2078" w:type="dxa"/>
          </w:tcPr>
          <w:p w14:paraId="48222131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6060305D" w14:textId="25B720CA" w:rsidR="00063BF0" w:rsidRPr="00124754" w:rsidRDefault="00926102" w:rsidP="00124754">
            <w:pPr>
              <w:spacing w:after="120"/>
              <w:mirrorIndents/>
              <w:rPr>
                <w:lang w:eastAsia="en-US"/>
              </w:rPr>
            </w:pPr>
            <w:r>
              <w:rPr>
                <w:lang w:eastAsia="en-US"/>
              </w:rPr>
              <w:t>Ierobežot</w:t>
            </w:r>
            <w:r w:rsidR="00063BF0" w:rsidRPr="00124754">
              <w:rPr>
                <w:lang w:eastAsia="en-US"/>
              </w:rPr>
              <w:t xml:space="preserve"> konta uzlaušanas risku</w:t>
            </w:r>
          </w:p>
        </w:tc>
      </w:tr>
      <w:tr w:rsidR="00063BF0" w:rsidRPr="00124754" w14:paraId="1152758E" w14:textId="77777777" w:rsidTr="00317A3F">
        <w:tc>
          <w:tcPr>
            <w:tcW w:w="3020" w:type="dxa"/>
          </w:tcPr>
          <w:p w14:paraId="6C77C31F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Piekļuves kontroles politika</w:t>
            </w:r>
          </w:p>
        </w:tc>
        <w:tc>
          <w:tcPr>
            <w:tcW w:w="2078" w:type="dxa"/>
          </w:tcPr>
          <w:p w14:paraId="49857977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2091B827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Definēt, kurš un kādos gadījumos var piekļūt datiem</w:t>
            </w:r>
          </w:p>
        </w:tc>
      </w:tr>
      <w:tr w:rsidR="00063BF0" w:rsidRPr="00124754" w14:paraId="59F81C98" w14:textId="77777777" w:rsidTr="00317A3F">
        <w:tc>
          <w:tcPr>
            <w:tcW w:w="3020" w:type="dxa"/>
          </w:tcPr>
          <w:p w14:paraId="237483B5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Kontu pārvaldības politika</w:t>
            </w:r>
          </w:p>
        </w:tc>
        <w:tc>
          <w:tcPr>
            <w:tcW w:w="2078" w:type="dxa"/>
          </w:tcPr>
          <w:p w14:paraId="47ED764B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7BDFF648" w14:textId="7D379B81" w:rsidR="00063BF0" w:rsidRPr="00124754" w:rsidRDefault="00926102" w:rsidP="00124754">
            <w:pPr>
              <w:spacing w:after="120"/>
              <w:mirrorIndents/>
              <w:rPr>
                <w:lang w:eastAsia="en-US"/>
              </w:rPr>
            </w:pPr>
            <w:r>
              <w:rPr>
                <w:lang w:eastAsia="en-US"/>
              </w:rPr>
              <w:t>Ierobežot</w:t>
            </w:r>
            <w:r w:rsidR="00063BF0" w:rsidRPr="00124754">
              <w:rPr>
                <w:lang w:eastAsia="en-US"/>
              </w:rPr>
              <w:t xml:space="preserve"> risku no pamestiem vai noklusētiem kontiem</w:t>
            </w:r>
          </w:p>
        </w:tc>
      </w:tr>
      <w:tr w:rsidR="00063BF0" w:rsidRPr="00124754" w14:paraId="3B9ED15B" w14:textId="77777777" w:rsidTr="00317A3F">
        <w:tc>
          <w:tcPr>
            <w:tcW w:w="3020" w:type="dxa"/>
          </w:tcPr>
          <w:p w14:paraId="1E6DD78D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Darbu nodalīšana</w:t>
            </w:r>
          </w:p>
        </w:tc>
        <w:tc>
          <w:tcPr>
            <w:tcW w:w="2078" w:type="dxa"/>
          </w:tcPr>
          <w:p w14:paraId="76F2F803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62218958" w14:textId="66423036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 xml:space="preserve">Ierobežot piekļuvi un </w:t>
            </w:r>
            <w:r w:rsidR="00926102">
              <w:rPr>
                <w:lang w:eastAsia="en-US"/>
              </w:rPr>
              <w:t>novērst</w:t>
            </w:r>
            <w:r w:rsidRPr="00124754">
              <w:rPr>
                <w:lang w:eastAsia="en-US"/>
              </w:rPr>
              <w:t xml:space="preserve"> ļaunprātīgu rīcību risku</w:t>
            </w:r>
          </w:p>
        </w:tc>
      </w:tr>
      <w:tr w:rsidR="008B3D44" w:rsidRPr="00124754" w14:paraId="3CED093E" w14:textId="77777777" w:rsidTr="008B3D44">
        <w:tc>
          <w:tcPr>
            <w:tcW w:w="9061" w:type="dxa"/>
            <w:gridSpan w:val="3"/>
            <w:shd w:val="clear" w:color="auto" w:fill="F2F2F2" w:themeFill="background1" w:themeFillShade="F2"/>
          </w:tcPr>
          <w:p w14:paraId="2A98A48A" w14:textId="1AFFF54E" w:rsidR="008B3D44" w:rsidRPr="00124754" w:rsidRDefault="008B3D44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Tehniskās kontroles</w:t>
            </w:r>
          </w:p>
        </w:tc>
      </w:tr>
      <w:tr w:rsidR="00063BF0" w:rsidRPr="00124754" w14:paraId="1EB9E19B" w14:textId="77777777" w:rsidTr="00317A3F">
        <w:tc>
          <w:tcPr>
            <w:tcW w:w="3020" w:type="dxa"/>
          </w:tcPr>
          <w:p w14:paraId="6C885175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Kontroles nosaukums</w:t>
            </w:r>
          </w:p>
        </w:tc>
        <w:tc>
          <w:tcPr>
            <w:tcW w:w="2078" w:type="dxa"/>
          </w:tcPr>
          <w:p w14:paraId="44A9EFB6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Kontroles veids</w:t>
            </w:r>
          </w:p>
        </w:tc>
        <w:tc>
          <w:tcPr>
            <w:tcW w:w="3963" w:type="dxa"/>
          </w:tcPr>
          <w:p w14:paraId="465DFCD9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Mērķis</w:t>
            </w:r>
          </w:p>
        </w:tc>
      </w:tr>
      <w:tr w:rsidR="00063BF0" w:rsidRPr="00124754" w14:paraId="2D024D79" w14:textId="77777777" w:rsidTr="00317A3F">
        <w:tc>
          <w:tcPr>
            <w:tcW w:w="3020" w:type="dxa"/>
          </w:tcPr>
          <w:p w14:paraId="5C10C9CE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Ugunsmūris (</w:t>
            </w:r>
            <w:proofErr w:type="spellStart"/>
            <w:r w:rsidRPr="00317A3F">
              <w:rPr>
                <w:i/>
                <w:iCs/>
                <w:lang w:eastAsia="en-US"/>
              </w:rPr>
              <w:t>Firewall</w:t>
            </w:r>
            <w:proofErr w:type="spellEnd"/>
            <w:r w:rsidRPr="00124754">
              <w:rPr>
                <w:lang w:eastAsia="en-US"/>
              </w:rPr>
              <w:t>)</w:t>
            </w:r>
          </w:p>
        </w:tc>
        <w:tc>
          <w:tcPr>
            <w:tcW w:w="2078" w:type="dxa"/>
          </w:tcPr>
          <w:p w14:paraId="0B1ABD27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1BD7486D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Filtrēt nevēlamu tīkla trafiku</w:t>
            </w:r>
          </w:p>
        </w:tc>
      </w:tr>
      <w:tr w:rsidR="00063BF0" w:rsidRPr="00124754" w14:paraId="04DBDD10" w14:textId="77777777" w:rsidTr="00317A3F">
        <w:tc>
          <w:tcPr>
            <w:tcW w:w="3020" w:type="dxa"/>
          </w:tcPr>
          <w:p w14:paraId="4C62E68F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IDS/IPS</w:t>
            </w:r>
          </w:p>
        </w:tc>
        <w:tc>
          <w:tcPr>
            <w:tcW w:w="2078" w:type="dxa"/>
          </w:tcPr>
          <w:p w14:paraId="0933E05B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Detektīvā</w:t>
            </w:r>
          </w:p>
        </w:tc>
        <w:tc>
          <w:tcPr>
            <w:tcW w:w="3963" w:type="dxa"/>
          </w:tcPr>
          <w:p w14:paraId="2632C5D2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Atklāt un reaģēt uz anomāliju</w:t>
            </w:r>
          </w:p>
        </w:tc>
      </w:tr>
      <w:tr w:rsidR="00063BF0" w:rsidRPr="00124754" w14:paraId="03F6F5C2" w14:textId="77777777" w:rsidTr="00317A3F">
        <w:tc>
          <w:tcPr>
            <w:tcW w:w="3020" w:type="dxa"/>
          </w:tcPr>
          <w:p w14:paraId="01BC6524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Šifrēšana</w:t>
            </w:r>
          </w:p>
        </w:tc>
        <w:tc>
          <w:tcPr>
            <w:tcW w:w="2078" w:type="dxa"/>
          </w:tcPr>
          <w:p w14:paraId="3380BDA4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Atturošā</w:t>
            </w:r>
          </w:p>
        </w:tc>
        <w:tc>
          <w:tcPr>
            <w:tcW w:w="3963" w:type="dxa"/>
          </w:tcPr>
          <w:p w14:paraId="6CF812D2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 xml:space="preserve">Aizsargāt </w:t>
            </w:r>
            <w:proofErr w:type="spellStart"/>
            <w:r w:rsidRPr="00124754">
              <w:rPr>
                <w:lang w:eastAsia="en-US"/>
              </w:rPr>
              <w:t>sensitīvu</w:t>
            </w:r>
            <w:proofErr w:type="spellEnd"/>
            <w:r w:rsidRPr="00124754">
              <w:rPr>
                <w:lang w:eastAsia="en-US"/>
              </w:rPr>
              <w:t xml:space="preserve"> informāciju</w:t>
            </w:r>
          </w:p>
        </w:tc>
      </w:tr>
      <w:tr w:rsidR="00063BF0" w:rsidRPr="00124754" w14:paraId="3A3B550A" w14:textId="77777777" w:rsidTr="00317A3F">
        <w:tc>
          <w:tcPr>
            <w:tcW w:w="3020" w:type="dxa"/>
          </w:tcPr>
          <w:p w14:paraId="343EC382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Dublēšana (</w:t>
            </w:r>
            <w:proofErr w:type="spellStart"/>
            <w:r w:rsidRPr="00317A3F">
              <w:rPr>
                <w:i/>
                <w:iCs/>
                <w:lang w:eastAsia="en-US"/>
              </w:rPr>
              <w:t>Backups</w:t>
            </w:r>
            <w:proofErr w:type="spellEnd"/>
            <w:r w:rsidRPr="00124754">
              <w:rPr>
                <w:lang w:eastAsia="en-US"/>
              </w:rPr>
              <w:t>)</w:t>
            </w:r>
          </w:p>
        </w:tc>
        <w:tc>
          <w:tcPr>
            <w:tcW w:w="2078" w:type="dxa"/>
          </w:tcPr>
          <w:p w14:paraId="66DF1642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Korektīvā</w:t>
            </w:r>
          </w:p>
        </w:tc>
        <w:tc>
          <w:tcPr>
            <w:tcW w:w="3963" w:type="dxa"/>
          </w:tcPr>
          <w:p w14:paraId="1765DF7C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Atjaunot datus pēc incidenta</w:t>
            </w:r>
          </w:p>
        </w:tc>
      </w:tr>
      <w:tr w:rsidR="00063BF0" w:rsidRPr="00124754" w14:paraId="13AAB8F7" w14:textId="77777777" w:rsidTr="00317A3F">
        <w:tc>
          <w:tcPr>
            <w:tcW w:w="3020" w:type="dxa"/>
          </w:tcPr>
          <w:p w14:paraId="113A34EE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Paroļu pārvaldība</w:t>
            </w:r>
          </w:p>
        </w:tc>
        <w:tc>
          <w:tcPr>
            <w:tcW w:w="2078" w:type="dxa"/>
          </w:tcPr>
          <w:p w14:paraId="010D4F34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76A42EF7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Samazināt paroļu izmantošanas kļūdas</w:t>
            </w:r>
          </w:p>
        </w:tc>
      </w:tr>
      <w:tr w:rsidR="00063BF0" w:rsidRPr="00124754" w14:paraId="22A29340" w14:textId="77777777" w:rsidTr="00317A3F">
        <w:tc>
          <w:tcPr>
            <w:tcW w:w="3020" w:type="dxa"/>
          </w:tcPr>
          <w:p w14:paraId="178684B8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proofErr w:type="spellStart"/>
            <w:r w:rsidRPr="00124754">
              <w:rPr>
                <w:lang w:eastAsia="en-US"/>
              </w:rPr>
              <w:t>Antivirus</w:t>
            </w:r>
            <w:proofErr w:type="spellEnd"/>
            <w:r w:rsidRPr="00124754">
              <w:rPr>
                <w:lang w:eastAsia="en-US"/>
              </w:rPr>
              <w:t xml:space="preserve"> programmatūra</w:t>
            </w:r>
          </w:p>
        </w:tc>
        <w:tc>
          <w:tcPr>
            <w:tcW w:w="2078" w:type="dxa"/>
          </w:tcPr>
          <w:p w14:paraId="1E9E4809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Korektīvā</w:t>
            </w:r>
          </w:p>
        </w:tc>
        <w:tc>
          <w:tcPr>
            <w:tcW w:w="3963" w:type="dxa"/>
          </w:tcPr>
          <w:p w14:paraId="393E35CC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Atklāt un izolēt draudus</w:t>
            </w:r>
          </w:p>
        </w:tc>
      </w:tr>
      <w:tr w:rsidR="00063BF0" w:rsidRPr="00124754" w14:paraId="5918B685" w14:textId="77777777" w:rsidTr="00317A3F">
        <w:tc>
          <w:tcPr>
            <w:tcW w:w="3020" w:type="dxa"/>
          </w:tcPr>
          <w:p w14:paraId="51F7C44F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Manuāla sistēmu uzraudzība</w:t>
            </w:r>
          </w:p>
        </w:tc>
        <w:tc>
          <w:tcPr>
            <w:tcW w:w="2078" w:type="dxa"/>
          </w:tcPr>
          <w:p w14:paraId="2932DE2C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1F81FECD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Novērst riskus, kas rodas no novecojušām sistēmām</w:t>
            </w:r>
          </w:p>
        </w:tc>
      </w:tr>
      <w:tr w:rsidR="008B3D44" w:rsidRPr="00124754" w14:paraId="6149AC97" w14:textId="77777777" w:rsidTr="008B3D44">
        <w:tc>
          <w:tcPr>
            <w:tcW w:w="9061" w:type="dxa"/>
            <w:gridSpan w:val="3"/>
            <w:shd w:val="clear" w:color="auto" w:fill="F2F2F2" w:themeFill="background1" w:themeFillShade="F2"/>
          </w:tcPr>
          <w:p w14:paraId="3726A9B7" w14:textId="0B152166" w:rsidR="008B3D44" w:rsidRPr="00124754" w:rsidRDefault="008B3D44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Fiziskās kontroles</w:t>
            </w:r>
          </w:p>
        </w:tc>
      </w:tr>
      <w:tr w:rsidR="00063BF0" w:rsidRPr="00124754" w14:paraId="655577EA" w14:textId="77777777" w:rsidTr="00317A3F">
        <w:tc>
          <w:tcPr>
            <w:tcW w:w="3020" w:type="dxa"/>
          </w:tcPr>
          <w:p w14:paraId="626F1843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Kontroles nosaukums</w:t>
            </w:r>
          </w:p>
        </w:tc>
        <w:tc>
          <w:tcPr>
            <w:tcW w:w="2078" w:type="dxa"/>
          </w:tcPr>
          <w:p w14:paraId="5B02A266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Kontroles veids</w:t>
            </w:r>
          </w:p>
        </w:tc>
        <w:tc>
          <w:tcPr>
            <w:tcW w:w="3963" w:type="dxa"/>
          </w:tcPr>
          <w:p w14:paraId="0F1CF7A7" w14:textId="77777777" w:rsidR="00063BF0" w:rsidRPr="00124754" w:rsidRDefault="00063BF0" w:rsidP="00124754">
            <w:pPr>
              <w:spacing w:after="120"/>
              <w:mirrorIndents/>
              <w:rPr>
                <w:b/>
                <w:bCs/>
                <w:lang w:eastAsia="en-US"/>
              </w:rPr>
            </w:pPr>
            <w:r w:rsidRPr="00124754">
              <w:rPr>
                <w:b/>
                <w:bCs/>
                <w:lang w:eastAsia="en-US"/>
              </w:rPr>
              <w:t>Mērķis</w:t>
            </w:r>
          </w:p>
        </w:tc>
      </w:tr>
      <w:tr w:rsidR="00063BF0" w:rsidRPr="00124754" w14:paraId="6199F58E" w14:textId="77777777" w:rsidTr="00317A3F">
        <w:tc>
          <w:tcPr>
            <w:tcW w:w="3020" w:type="dxa"/>
          </w:tcPr>
          <w:p w14:paraId="1AE63955" w14:textId="4391C5AB" w:rsidR="00063BF0" w:rsidRPr="00124754" w:rsidRDefault="00596E42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Dokumentu seifs</w:t>
            </w:r>
          </w:p>
        </w:tc>
        <w:tc>
          <w:tcPr>
            <w:tcW w:w="2078" w:type="dxa"/>
          </w:tcPr>
          <w:p w14:paraId="0D3225E2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Atturošā</w:t>
            </w:r>
          </w:p>
        </w:tc>
        <w:tc>
          <w:tcPr>
            <w:tcW w:w="3963" w:type="dxa"/>
          </w:tcPr>
          <w:p w14:paraId="57E404D3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Samazināt fizisku apdraudējumu iespēju</w:t>
            </w:r>
          </w:p>
        </w:tc>
      </w:tr>
      <w:tr w:rsidR="00063BF0" w:rsidRPr="00124754" w14:paraId="7DEADF36" w14:textId="77777777" w:rsidTr="00317A3F">
        <w:tc>
          <w:tcPr>
            <w:tcW w:w="3020" w:type="dxa"/>
          </w:tcPr>
          <w:p w14:paraId="6A6E3FCB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Apgaismojums telpās</w:t>
            </w:r>
          </w:p>
        </w:tc>
        <w:tc>
          <w:tcPr>
            <w:tcW w:w="2078" w:type="dxa"/>
          </w:tcPr>
          <w:p w14:paraId="22924E93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Atturošā</w:t>
            </w:r>
          </w:p>
        </w:tc>
        <w:tc>
          <w:tcPr>
            <w:tcW w:w="3963" w:type="dxa"/>
          </w:tcPr>
          <w:p w14:paraId="61DD3298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Ierobežot slēptu piekļuvi un riskus</w:t>
            </w:r>
          </w:p>
        </w:tc>
      </w:tr>
      <w:tr w:rsidR="00063BF0" w:rsidRPr="00124754" w14:paraId="1B5FD719" w14:textId="77777777" w:rsidTr="00317A3F">
        <w:tc>
          <w:tcPr>
            <w:tcW w:w="3020" w:type="dxa"/>
          </w:tcPr>
          <w:p w14:paraId="36820D55" w14:textId="5529F04D" w:rsidR="00063BF0" w:rsidRPr="00124754" w:rsidRDefault="006E61E6" w:rsidP="00124754">
            <w:pPr>
              <w:spacing w:after="120"/>
              <w:mirrorIndents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8B3D44" w:rsidRPr="00124754">
              <w:rPr>
                <w:lang w:eastAsia="en-US"/>
              </w:rPr>
              <w:t>ideo</w:t>
            </w:r>
            <w:r w:rsidR="00063BF0" w:rsidRPr="00124754">
              <w:rPr>
                <w:lang w:eastAsia="en-US"/>
              </w:rPr>
              <w:t xml:space="preserve"> novērošana</w:t>
            </w:r>
          </w:p>
        </w:tc>
        <w:tc>
          <w:tcPr>
            <w:tcW w:w="2078" w:type="dxa"/>
          </w:tcPr>
          <w:p w14:paraId="36465351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 / Detektīvā</w:t>
            </w:r>
          </w:p>
        </w:tc>
        <w:tc>
          <w:tcPr>
            <w:tcW w:w="3963" w:type="dxa"/>
          </w:tcPr>
          <w:p w14:paraId="42F7114F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Gan atturošs, gan notikumu analīzei</w:t>
            </w:r>
          </w:p>
        </w:tc>
      </w:tr>
      <w:tr w:rsidR="00063BF0" w:rsidRPr="00124754" w14:paraId="37F258A1" w14:textId="77777777" w:rsidTr="00317A3F">
        <w:tc>
          <w:tcPr>
            <w:tcW w:w="3020" w:type="dxa"/>
          </w:tcPr>
          <w:p w14:paraId="46CB93ED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Slēdzami skapji tīkla iekārtām</w:t>
            </w:r>
          </w:p>
        </w:tc>
        <w:tc>
          <w:tcPr>
            <w:tcW w:w="2078" w:type="dxa"/>
          </w:tcPr>
          <w:p w14:paraId="0AF6CDA2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Preventīvā</w:t>
            </w:r>
          </w:p>
        </w:tc>
        <w:tc>
          <w:tcPr>
            <w:tcW w:w="3963" w:type="dxa"/>
          </w:tcPr>
          <w:p w14:paraId="393B6DDC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Ierobežot piekļuvi kritiskajai infrastruktūrai</w:t>
            </w:r>
          </w:p>
        </w:tc>
      </w:tr>
      <w:tr w:rsidR="00063BF0" w:rsidRPr="00124754" w14:paraId="140655C1" w14:textId="77777777" w:rsidTr="00317A3F">
        <w:tc>
          <w:tcPr>
            <w:tcW w:w="3020" w:type="dxa"/>
          </w:tcPr>
          <w:p w14:paraId="673EEBCE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Signalizācijas sistēmas marķējums</w:t>
            </w:r>
          </w:p>
        </w:tc>
        <w:tc>
          <w:tcPr>
            <w:tcW w:w="2078" w:type="dxa"/>
          </w:tcPr>
          <w:p w14:paraId="73E93D70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Atturošā</w:t>
            </w:r>
          </w:p>
        </w:tc>
        <w:tc>
          <w:tcPr>
            <w:tcW w:w="3963" w:type="dxa"/>
          </w:tcPr>
          <w:p w14:paraId="55E6D857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Atturēt no ielaušanās</w:t>
            </w:r>
          </w:p>
        </w:tc>
      </w:tr>
      <w:tr w:rsidR="00063BF0" w:rsidRPr="00124754" w14:paraId="67CFE4B9" w14:textId="77777777" w:rsidTr="00317A3F">
        <w:tc>
          <w:tcPr>
            <w:tcW w:w="3020" w:type="dxa"/>
          </w:tcPr>
          <w:p w14:paraId="52147FEA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Fiziskās slēdzenes</w:t>
            </w:r>
          </w:p>
        </w:tc>
        <w:tc>
          <w:tcPr>
            <w:tcW w:w="2078" w:type="dxa"/>
          </w:tcPr>
          <w:p w14:paraId="777C13B0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Atturošā / Preventīvā</w:t>
            </w:r>
          </w:p>
        </w:tc>
        <w:tc>
          <w:tcPr>
            <w:tcW w:w="3963" w:type="dxa"/>
          </w:tcPr>
          <w:p w14:paraId="6E0C456A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Novērst nesankcionētu piekļuvi</w:t>
            </w:r>
          </w:p>
        </w:tc>
      </w:tr>
      <w:tr w:rsidR="00063BF0" w:rsidRPr="00124754" w14:paraId="438C8EB0" w14:textId="77777777" w:rsidTr="00317A3F">
        <w:tc>
          <w:tcPr>
            <w:tcW w:w="3020" w:type="dxa"/>
          </w:tcPr>
          <w:p w14:paraId="2D8678BB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Ugunsgrēka atklāšanas / dzēšanas sistēmas</w:t>
            </w:r>
          </w:p>
        </w:tc>
        <w:tc>
          <w:tcPr>
            <w:tcW w:w="2078" w:type="dxa"/>
          </w:tcPr>
          <w:p w14:paraId="1AD26A83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Detektīvā / Preventīvā</w:t>
            </w:r>
          </w:p>
        </w:tc>
        <w:tc>
          <w:tcPr>
            <w:tcW w:w="3963" w:type="dxa"/>
          </w:tcPr>
          <w:p w14:paraId="154CEF7F" w14:textId="77777777" w:rsidR="00063BF0" w:rsidRPr="00124754" w:rsidRDefault="00063BF0" w:rsidP="00124754">
            <w:pPr>
              <w:spacing w:after="120"/>
              <w:mirrorIndents/>
              <w:rPr>
                <w:lang w:eastAsia="en-US"/>
              </w:rPr>
            </w:pPr>
            <w:r w:rsidRPr="00124754">
              <w:rPr>
                <w:lang w:eastAsia="en-US"/>
              </w:rPr>
              <w:t>Aizsargāt fiziskos resursus no bojājumiem</w:t>
            </w:r>
          </w:p>
        </w:tc>
      </w:tr>
    </w:tbl>
    <w:p w14:paraId="38E24FEC" w14:textId="77777777" w:rsidR="00FD08E0" w:rsidRPr="00124754" w:rsidRDefault="00FD08E0" w:rsidP="00124754">
      <w:pPr>
        <w:spacing w:after="120" w:line="240" w:lineRule="auto"/>
        <w:mirrorIndents/>
      </w:pPr>
    </w:p>
    <w:sectPr w:rsidR="00FD08E0" w:rsidRPr="00124754" w:rsidSect="00FD08E0">
      <w:type w:val="continuous"/>
      <w:pgSz w:w="11906" w:h="16838"/>
      <w:pgMar w:top="1134" w:right="1134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38A8" w14:textId="77777777" w:rsidR="00361FF9" w:rsidRDefault="00361FF9">
      <w:pPr>
        <w:spacing w:after="0" w:line="240" w:lineRule="auto"/>
      </w:pPr>
      <w:r>
        <w:separator/>
      </w:r>
    </w:p>
  </w:endnote>
  <w:endnote w:type="continuationSeparator" w:id="0">
    <w:p w14:paraId="1F463011" w14:textId="77777777" w:rsidR="00361FF9" w:rsidRDefault="0036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0252151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8"/>
            <w:szCs w:val="28"/>
          </w:rPr>
          <w:id w:val="747546277"/>
          <w:docPartObj>
            <w:docPartGallery w:val="Page Numbers (Top of Page)"/>
            <w:docPartUnique/>
          </w:docPartObj>
        </w:sdtPr>
        <w:sdtEndPr/>
        <w:sdtContent>
          <w:p w14:paraId="0A9B2FBF" w14:textId="77777777" w:rsidR="009A63B3" w:rsidRDefault="009A63B3" w:rsidP="009A63B3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lv-LV"/>
              </w:rPr>
            </w:pPr>
            <w:r w:rsidRPr="009A63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lv-LV"/>
              </w:rPr>
              <w:t>[datums] , [versija]</w:t>
            </w:r>
          </w:p>
          <w:p w14:paraId="1FAC55D6" w14:textId="6D8E63E5" w:rsidR="00663C50" w:rsidRPr="00292BC6" w:rsidRDefault="00A112A8" w:rsidP="009A63B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PAGE </w:instrTex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="003B7BC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12</w: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 w:rsidRPr="00F76BC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NUMPAGES  </w:instrTex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="003B7BC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12</w: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  <w:lang w:eastAsia="en-US"/>
      </w:rPr>
      <w:id w:val="-49231539"/>
      <w:docPartObj>
        <w:docPartGallery w:val="Page Numbers (Top of Page)"/>
        <w:docPartUnique/>
      </w:docPartObj>
    </w:sdtPr>
    <w:sdtEndPr/>
    <w:sdtContent>
      <w:p w14:paraId="0351A36A" w14:textId="77777777" w:rsidR="00CF5C93" w:rsidRPr="00CF5C93" w:rsidRDefault="00CF5C93" w:rsidP="00CF5C93">
        <w:pPr>
          <w:widowControl/>
          <w:spacing w:after="0" w:line="240" w:lineRule="auto"/>
          <w:rPr>
            <w:noProof/>
            <w:sz w:val="20"/>
            <w:szCs w:val="20"/>
          </w:rPr>
        </w:pPr>
        <w:r w:rsidRPr="00CF5C93">
          <w:rPr>
            <w:noProof/>
            <w:sz w:val="20"/>
            <w:szCs w:val="20"/>
          </w:rPr>
          <w:t>[datums] , [versija]</w:t>
        </w:r>
      </w:p>
      <w:p w14:paraId="6DF6D24D" w14:textId="77777777" w:rsidR="00CF5C93" w:rsidRPr="00CF5C93" w:rsidRDefault="00CF5C93" w:rsidP="00CF5C93">
        <w:pPr>
          <w:widowControl/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Calibri" w:hAnsi="Calibri"/>
            <w:sz w:val="28"/>
            <w:szCs w:val="28"/>
            <w:lang w:eastAsia="en-US"/>
          </w:rPr>
        </w:pPr>
        <w:r w:rsidRPr="00CF5C93">
          <w:rPr>
            <w:sz w:val="28"/>
            <w:szCs w:val="28"/>
            <w:lang w:eastAsia="en-US"/>
          </w:rPr>
          <w:t xml:space="preserve"> </w:t>
        </w:r>
        <w:r w:rsidRPr="00CF5C93">
          <w:rPr>
            <w:bCs/>
            <w:sz w:val="28"/>
            <w:szCs w:val="28"/>
            <w:lang w:eastAsia="en-US"/>
          </w:rPr>
          <w:fldChar w:fldCharType="begin"/>
        </w:r>
        <w:r w:rsidRPr="00CF5C93">
          <w:rPr>
            <w:bCs/>
            <w:sz w:val="28"/>
            <w:szCs w:val="28"/>
            <w:lang w:eastAsia="en-US"/>
          </w:rPr>
          <w:instrText xml:space="preserve"> PAGE </w:instrText>
        </w:r>
        <w:r w:rsidRPr="00CF5C93">
          <w:rPr>
            <w:bCs/>
            <w:sz w:val="28"/>
            <w:szCs w:val="28"/>
            <w:lang w:eastAsia="en-US"/>
          </w:rPr>
          <w:fldChar w:fldCharType="separate"/>
        </w:r>
        <w:r w:rsidRPr="00CF5C93">
          <w:rPr>
            <w:rFonts w:ascii="Calibri" w:hAnsi="Calibri"/>
            <w:bCs/>
            <w:sz w:val="28"/>
            <w:szCs w:val="28"/>
            <w:lang w:eastAsia="en-US"/>
          </w:rPr>
          <w:t>1</w:t>
        </w:r>
        <w:r w:rsidRPr="00CF5C93">
          <w:rPr>
            <w:bCs/>
            <w:sz w:val="28"/>
            <w:szCs w:val="28"/>
            <w:lang w:eastAsia="en-US"/>
          </w:rPr>
          <w:fldChar w:fldCharType="end"/>
        </w:r>
        <w:r w:rsidRPr="00CF5C93">
          <w:rPr>
            <w:sz w:val="28"/>
            <w:szCs w:val="28"/>
            <w:lang w:eastAsia="en-US"/>
          </w:rPr>
          <w:t xml:space="preserve"> - </w:t>
        </w:r>
        <w:r w:rsidRPr="00CF5C93">
          <w:rPr>
            <w:bCs/>
            <w:sz w:val="28"/>
            <w:szCs w:val="28"/>
            <w:lang w:eastAsia="en-US"/>
          </w:rPr>
          <w:fldChar w:fldCharType="begin"/>
        </w:r>
        <w:r w:rsidRPr="00CF5C93">
          <w:rPr>
            <w:bCs/>
            <w:sz w:val="28"/>
            <w:szCs w:val="28"/>
            <w:lang w:eastAsia="en-US"/>
          </w:rPr>
          <w:instrText xml:space="preserve"> NUMPAGES  </w:instrText>
        </w:r>
        <w:r w:rsidRPr="00CF5C93">
          <w:rPr>
            <w:bCs/>
            <w:sz w:val="28"/>
            <w:szCs w:val="28"/>
            <w:lang w:eastAsia="en-US"/>
          </w:rPr>
          <w:fldChar w:fldCharType="separate"/>
        </w:r>
        <w:r w:rsidRPr="00CF5C93">
          <w:rPr>
            <w:rFonts w:ascii="Calibri" w:hAnsi="Calibri"/>
            <w:bCs/>
            <w:sz w:val="28"/>
            <w:szCs w:val="28"/>
            <w:lang w:eastAsia="en-US"/>
          </w:rPr>
          <w:t>8</w:t>
        </w:r>
        <w:r w:rsidRPr="00CF5C93">
          <w:rPr>
            <w:bCs/>
            <w:sz w:val="28"/>
            <w:szCs w:val="28"/>
            <w:lang w:eastAsia="en-US"/>
          </w:rPr>
          <w:fldChar w:fldCharType="end"/>
        </w:r>
      </w:p>
    </w:sdtContent>
  </w:sdt>
  <w:p w14:paraId="296C2EAD" w14:textId="14B8545B" w:rsidR="009A63B3" w:rsidRPr="00CF5C93" w:rsidRDefault="009A63B3" w:rsidP="00CF5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8693" w14:textId="77777777" w:rsidR="00361FF9" w:rsidRDefault="00361FF9">
      <w:pPr>
        <w:spacing w:after="0" w:line="240" w:lineRule="auto"/>
      </w:pPr>
      <w:r>
        <w:separator/>
      </w:r>
    </w:p>
  </w:footnote>
  <w:footnote w:type="continuationSeparator" w:id="0">
    <w:p w14:paraId="3369BA3F" w14:textId="77777777" w:rsidR="00361FF9" w:rsidRDefault="0036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1F74" w14:textId="478B433D" w:rsidR="00AE0438" w:rsidRPr="007231EA" w:rsidRDefault="00AE0438" w:rsidP="00723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FB0"/>
    <w:multiLevelType w:val="multilevel"/>
    <w:tmpl w:val="E9A875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42BAA"/>
    <w:multiLevelType w:val="multilevel"/>
    <w:tmpl w:val="533815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E5A9F"/>
    <w:multiLevelType w:val="multilevel"/>
    <w:tmpl w:val="26C6F3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F5A26"/>
    <w:multiLevelType w:val="multilevel"/>
    <w:tmpl w:val="0FF22A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E7A1B"/>
    <w:multiLevelType w:val="multilevel"/>
    <w:tmpl w:val="CE08AE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974A0"/>
    <w:multiLevelType w:val="multilevel"/>
    <w:tmpl w:val="0D806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697370"/>
    <w:multiLevelType w:val="multilevel"/>
    <w:tmpl w:val="ECE4A2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DC0234"/>
    <w:multiLevelType w:val="multilevel"/>
    <w:tmpl w:val="C1208D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06DCB"/>
    <w:multiLevelType w:val="multilevel"/>
    <w:tmpl w:val="57ACD3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422ED"/>
    <w:multiLevelType w:val="hybridMultilevel"/>
    <w:tmpl w:val="2A3A3D20"/>
    <w:lvl w:ilvl="0" w:tplc="74F4297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1D21BE"/>
    <w:multiLevelType w:val="multilevel"/>
    <w:tmpl w:val="547EBF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0156B8"/>
    <w:multiLevelType w:val="multilevel"/>
    <w:tmpl w:val="CB4E15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25FDC"/>
    <w:multiLevelType w:val="multilevel"/>
    <w:tmpl w:val="1A2697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3E3438"/>
    <w:multiLevelType w:val="multilevel"/>
    <w:tmpl w:val="6F687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B6397"/>
    <w:multiLevelType w:val="multilevel"/>
    <w:tmpl w:val="E022F2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A09C1"/>
    <w:multiLevelType w:val="multilevel"/>
    <w:tmpl w:val="CD76DB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82A2C"/>
    <w:multiLevelType w:val="hybridMultilevel"/>
    <w:tmpl w:val="938868AA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217A9"/>
    <w:multiLevelType w:val="multilevel"/>
    <w:tmpl w:val="D16CB1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27DEC"/>
    <w:multiLevelType w:val="multilevel"/>
    <w:tmpl w:val="E926D6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A045D"/>
    <w:multiLevelType w:val="multilevel"/>
    <w:tmpl w:val="B40CE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17C01"/>
    <w:multiLevelType w:val="multilevel"/>
    <w:tmpl w:val="C91E0A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761A4"/>
    <w:multiLevelType w:val="multilevel"/>
    <w:tmpl w:val="CFF0BB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54697"/>
    <w:multiLevelType w:val="multilevel"/>
    <w:tmpl w:val="77E62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263113"/>
    <w:multiLevelType w:val="multilevel"/>
    <w:tmpl w:val="CEC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7524E"/>
    <w:multiLevelType w:val="hybridMultilevel"/>
    <w:tmpl w:val="63BECF2E"/>
    <w:lvl w:ilvl="0" w:tplc="EBF24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CA18CD"/>
    <w:multiLevelType w:val="multilevel"/>
    <w:tmpl w:val="47A88D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3395D"/>
    <w:multiLevelType w:val="multilevel"/>
    <w:tmpl w:val="6D92D5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77A88"/>
    <w:multiLevelType w:val="multilevel"/>
    <w:tmpl w:val="25F8ED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34660"/>
    <w:multiLevelType w:val="multilevel"/>
    <w:tmpl w:val="AA5AE7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775D9"/>
    <w:multiLevelType w:val="multilevel"/>
    <w:tmpl w:val="9F9CCE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A4508"/>
    <w:multiLevelType w:val="multilevel"/>
    <w:tmpl w:val="26308C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205AB1"/>
    <w:multiLevelType w:val="multilevel"/>
    <w:tmpl w:val="4D7032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D16AB"/>
    <w:multiLevelType w:val="multilevel"/>
    <w:tmpl w:val="B4DAA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8F7188"/>
    <w:multiLevelType w:val="multilevel"/>
    <w:tmpl w:val="F1C834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6C368F"/>
    <w:multiLevelType w:val="multilevel"/>
    <w:tmpl w:val="511052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F5A6A"/>
    <w:multiLevelType w:val="multilevel"/>
    <w:tmpl w:val="84AC4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E0C69A1"/>
    <w:multiLevelType w:val="multilevel"/>
    <w:tmpl w:val="3ECEB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32"/>
  </w:num>
  <w:num w:numId="3">
    <w:abstractNumId w:val="35"/>
  </w:num>
  <w:num w:numId="4">
    <w:abstractNumId w:val="9"/>
  </w:num>
  <w:num w:numId="5">
    <w:abstractNumId w:val="28"/>
  </w:num>
  <w:num w:numId="6">
    <w:abstractNumId w:val="18"/>
  </w:num>
  <w:num w:numId="7">
    <w:abstractNumId w:val="30"/>
  </w:num>
  <w:num w:numId="8">
    <w:abstractNumId w:val="23"/>
  </w:num>
  <w:num w:numId="9">
    <w:abstractNumId w:val="15"/>
  </w:num>
  <w:num w:numId="10">
    <w:abstractNumId w:val="16"/>
  </w:num>
  <w:num w:numId="11">
    <w:abstractNumId w:val="11"/>
  </w:num>
  <w:num w:numId="12">
    <w:abstractNumId w:val="29"/>
  </w:num>
  <w:num w:numId="13">
    <w:abstractNumId w:val="0"/>
  </w:num>
  <w:num w:numId="14">
    <w:abstractNumId w:val="33"/>
  </w:num>
  <w:num w:numId="15">
    <w:abstractNumId w:val="25"/>
  </w:num>
  <w:num w:numId="16">
    <w:abstractNumId w:val="27"/>
  </w:num>
  <w:num w:numId="17">
    <w:abstractNumId w:val="1"/>
  </w:num>
  <w:num w:numId="18">
    <w:abstractNumId w:val="31"/>
  </w:num>
  <w:num w:numId="19">
    <w:abstractNumId w:val="19"/>
  </w:num>
  <w:num w:numId="20">
    <w:abstractNumId w:val="26"/>
  </w:num>
  <w:num w:numId="21">
    <w:abstractNumId w:val="14"/>
  </w:num>
  <w:num w:numId="22">
    <w:abstractNumId w:val="22"/>
  </w:num>
  <w:num w:numId="23">
    <w:abstractNumId w:val="7"/>
  </w:num>
  <w:num w:numId="24">
    <w:abstractNumId w:val="4"/>
  </w:num>
  <w:num w:numId="25">
    <w:abstractNumId w:val="8"/>
  </w:num>
  <w:num w:numId="26">
    <w:abstractNumId w:val="24"/>
  </w:num>
  <w:num w:numId="27">
    <w:abstractNumId w:val="12"/>
  </w:num>
  <w:num w:numId="28">
    <w:abstractNumId w:val="2"/>
  </w:num>
  <w:num w:numId="29">
    <w:abstractNumId w:val="13"/>
  </w:num>
  <w:num w:numId="30">
    <w:abstractNumId w:val="20"/>
  </w:num>
  <w:num w:numId="31">
    <w:abstractNumId w:val="6"/>
  </w:num>
  <w:num w:numId="32">
    <w:abstractNumId w:val="10"/>
  </w:num>
  <w:num w:numId="33">
    <w:abstractNumId w:val="17"/>
  </w:num>
  <w:num w:numId="34">
    <w:abstractNumId w:val="5"/>
  </w:num>
  <w:num w:numId="35">
    <w:abstractNumId w:val="34"/>
  </w:num>
  <w:num w:numId="36">
    <w:abstractNumId w:val="21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6E"/>
    <w:rsid w:val="000010C8"/>
    <w:rsid w:val="00003A69"/>
    <w:rsid w:val="000040B0"/>
    <w:rsid w:val="00004D2B"/>
    <w:rsid w:val="000068D9"/>
    <w:rsid w:val="000137A3"/>
    <w:rsid w:val="00023FA9"/>
    <w:rsid w:val="00024680"/>
    <w:rsid w:val="00032C56"/>
    <w:rsid w:val="00033DC3"/>
    <w:rsid w:val="00036B5B"/>
    <w:rsid w:val="00040EFD"/>
    <w:rsid w:val="00042209"/>
    <w:rsid w:val="00046330"/>
    <w:rsid w:val="00047A76"/>
    <w:rsid w:val="000508FD"/>
    <w:rsid w:val="000554E3"/>
    <w:rsid w:val="00055A9E"/>
    <w:rsid w:val="00055BBF"/>
    <w:rsid w:val="000570D1"/>
    <w:rsid w:val="00057440"/>
    <w:rsid w:val="0006001B"/>
    <w:rsid w:val="00063BF0"/>
    <w:rsid w:val="00064C21"/>
    <w:rsid w:val="00070FEE"/>
    <w:rsid w:val="00071D33"/>
    <w:rsid w:val="00075519"/>
    <w:rsid w:val="0007560B"/>
    <w:rsid w:val="00093D67"/>
    <w:rsid w:val="0009495C"/>
    <w:rsid w:val="0009573B"/>
    <w:rsid w:val="000977C0"/>
    <w:rsid w:val="000A39EE"/>
    <w:rsid w:val="000B0059"/>
    <w:rsid w:val="000B01CC"/>
    <w:rsid w:val="000B02E8"/>
    <w:rsid w:val="000B40A0"/>
    <w:rsid w:val="000B5D51"/>
    <w:rsid w:val="000B6DC4"/>
    <w:rsid w:val="000C4589"/>
    <w:rsid w:val="000C5CAC"/>
    <w:rsid w:val="000C7A39"/>
    <w:rsid w:val="000D5135"/>
    <w:rsid w:val="000D5F45"/>
    <w:rsid w:val="000D631C"/>
    <w:rsid w:val="000E5955"/>
    <w:rsid w:val="000E6421"/>
    <w:rsid w:val="000E7A96"/>
    <w:rsid w:val="000F5F6E"/>
    <w:rsid w:val="00101FB2"/>
    <w:rsid w:val="00107167"/>
    <w:rsid w:val="00113389"/>
    <w:rsid w:val="0011377E"/>
    <w:rsid w:val="00114222"/>
    <w:rsid w:val="00116821"/>
    <w:rsid w:val="00117E8E"/>
    <w:rsid w:val="001208F3"/>
    <w:rsid w:val="00121A08"/>
    <w:rsid w:val="00122595"/>
    <w:rsid w:val="00122E6E"/>
    <w:rsid w:val="00124754"/>
    <w:rsid w:val="00130BF1"/>
    <w:rsid w:val="0013367B"/>
    <w:rsid w:val="001369EB"/>
    <w:rsid w:val="001416A6"/>
    <w:rsid w:val="00141885"/>
    <w:rsid w:val="0014332A"/>
    <w:rsid w:val="00145D8C"/>
    <w:rsid w:val="0014633D"/>
    <w:rsid w:val="00150E2D"/>
    <w:rsid w:val="001647A5"/>
    <w:rsid w:val="001702A7"/>
    <w:rsid w:val="00170E21"/>
    <w:rsid w:val="00171042"/>
    <w:rsid w:val="00175B99"/>
    <w:rsid w:val="00181A07"/>
    <w:rsid w:val="0019264D"/>
    <w:rsid w:val="00197C25"/>
    <w:rsid w:val="001A2D39"/>
    <w:rsid w:val="001A5292"/>
    <w:rsid w:val="001A65BC"/>
    <w:rsid w:val="001B515D"/>
    <w:rsid w:val="001C1D66"/>
    <w:rsid w:val="001C231A"/>
    <w:rsid w:val="001D35AD"/>
    <w:rsid w:val="001D67C0"/>
    <w:rsid w:val="001E41C9"/>
    <w:rsid w:val="001E496B"/>
    <w:rsid w:val="001E6355"/>
    <w:rsid w:val="001F09F5"/>
    <w:rsid w:val="001F5027"/>
    <w:rsid w:val="001F5EDF"/>
    <w:rsid w:val="001F7A95"/>
    <w:rsid w:val="00205768"/>
    <w:rsid w:val="00205C72"/>
    <w:rsid w:val="00206AC1"/>
    <w:rsid w:val="0020728C"/>
    <w:rsid w:val="00207DC2"/>
    <w:rsid w:val="002102F8"/>
    <w:rsid w:val="00212356"/>
    <w:rsid w:val="00215A23"/>
    <w:rsid w:val="00215D9E"/>
    <w:rsid w:val="00217490"/>
    <w:rsid w:val="00222D13"/>
    <w:rsid w:val="00223A16"/>
    <w:rsid w:val="002253B1"/>
    <w:rsid w:val="0022697D"/>
    <w:rsid w:val="002340B3"/>
    <w:rsid w:val="0023563C"/>
    <w:rsid w:val="0023625D"/>
    <w:rsid w:val="002409B5"/>
    <w:rsid w:val="002450AB"/>
    <w:rsid w:val="00246DE5"/>
    <w:rsid w:val="00251CDD"/>
    <w:rsid w:val="00251D92"/>
    <w:rsid w:val="0025284B"/>
    <w:rsid w:val="00255DDD"/>
    <w:rsid w:val="00256592"/>
    <w:rsid w:val="0026183F"/>
    <w:rsid w:val="00261C3C"/>
    <w:rsid w:val="00262350"/>
    <w:rsid w:val="0026325F"/>
    <w:rsid w:val="00266BDB"/>
    <w:rsid w:val="00271D8E"/>
    <w:rsid w:val="00272EC2"/>
    <w:rsid w:val="00280427"/>
    <w:rsid w:val="0028624B"/>
    <w:rsid w:val="00292BC6"/>
    <w:rsid w:val="00296847"/>
    <w:rsid w:val="002A0CF7"/>
    <w:rsid w:val="002A5EB5"/>
    <w:rsid w:val="002B1137"/>
    <w:rsid w:val="002B5D5B"/>
    <w:rsid w:val="002B76AC"/>
    <w:rsid w:val="002B7A09"/>
    <w:rsid w:val="002C06A0"/>
    <w:rsid w:val="002C0B88"/>
    <w:rsid w:val="002C6DC6"/>
    <w:rsid w:val="002C7FB7"/>
    <w:rsid w:val="002D1E26"/>
    <w:rsid w:val="002D5DB4"/>
    <w:rsid w:val="002D7F55"/>
    <w:rsid w:val="002D7FAB"/>
    <w:rsid w:val="002E4047"/>
    <w:rsid w:val="002F04E6"/>
    <w:rsid w:val="002F05E9"/>
    <w:rsid w:val="002F1416"/>
    <w:rsid w:val="002F5963"/>
    <w:rsid w:val="002F784A"/>
    <w:rsid w:val="0031149C"/>
    <w:rsid w:val="00317A3F"/>
    <w:rsid w:val="0033022F"/>
    <w:rsid w:val="00330763"/>
    <w:rsid w:val="00333DB6"/>
    <w:rsid w:val="00334683"/>
    <w:rsid w:val="00336ABE"/>
    <w:rsid w:val="003442AD"/>
    <w:rsid w:val="003457D7"/>
    <w:rsid w:val="00354ECA"/>
    <w:rsid w:val="00361FF9"/>
    <w:rsid w:val="00364815"/>
    <w:rsid w:val="00367AF9"/>
    <w:rsid w:val="003753BD"/>
    <w:rsid w:val="003779B7"/>
    <w:rsid w:val="003836ED"/>
    <w:rsid w:val="00386452"/>
    <w:rsid w:val="00387C22"/>
    <w:rsid w:val="00387D08"/>
    <w:rsid w:val="00390B56"/>
    <w:rsid w:val="00394DFF"/>
    <w:rsid w:val="003A3C19"/>
    <w:rsid w:val="003A434A"/>
    <w:rsid w:val="003A4363"/>
    <w:rsid w:val="003A7E5B"/>
    <w:rsid w:val="003B37C1"/>
    <w:rsid w:val="003B7BCA"/>
    <w:rsid w:val="003C26F6"/>
    <w:rsid w:val="003C5F20"/>
    <w:rsid w:val="003C6B46"/>
    <w:rsid w:val="003E5FFA"/>
    <w:rsid w:val="003E68A1"/>
    <w:rsid w:val="003F498E"/>
    <w:rsid w:val="00404A46"/>
    <w:rsid w:val="004058EC"/>
    <w:rsid w:val="004064FE"/>
    <w:rsid w:val="004077B0"/>
    <w:rsid w:val="00407D9C"/>
    <w:rsid w:val="004108D5"/>
    <w:rsid w:val="00413E37"/>
    <w:rsid w:val="0041554D"/>
    <w:rsid w:val="00416188"/>
    <w:rsid w:val="0042229B"/>
    <w:rsid w:val="004226D7"/>
    <w:rsid w:val="0042273E"/>
    <w:rsid w:val="00430146"/>
    <w:rsid w:val="00431E8B"/>
    <w:rsid w:val="004327DE"/>
    <w:rsid w:val="00432B54"/>
    <w:rsid w:val="0043320B"/>
    <w:rsid w:val="004337EE"/>
    <w:rsid w:val="00434134"/>
    <w:rsid w:val="00435945"/>
    <w:rsid w:val="004426F7"/>
    <w:rsid w:val="00443318"/>
    <w:rsid w:val="00454D4A"/>
    <w:rsid w:val="00461106"/>
    <w:rsid w:val="00472407"/>
    <w:rsid w:val="00472876"/>
    <w:rsid w:val="0047692A"/>
    <w:rsid w:val="00480735"/>
    <w:rsid w:val="00480DAA"/>
    <w:rsid w:val="00483D09"/>
    <w:rsid w:val="0049028E"/>
    <w:rsid w:val="00495628"/>
    <w:rsid w:val="00497E88"/>
    <w:rsid w:val="004A2FD6"/>
    <w:rsid w:val="004A7C16"/>
    <w:rsid w:val="004B031B"/>
    <w:rsid w:val="004B211F"/>
    <w:rsid w:val="004B440B"/>
    <w:rsid w:val="004B4A77"/>
    <w:rsid w:val="004C016E"/>
    <w:rsid w:val="004C251E"/>
    <w:rsid w:val="004C58FD"/>
    <w:rsid w:val="004C5F39"/>
    <w:rsid w:val="004E6D40"/>
    <w:rsid w:val="004F10A2"/>
    <w:rsid w:val="004F18F7"/>
    <w:rsid w:val="004F2432"/>
    <w:rsid w:val="004F7545"/>
    <w:rsid w:val="00500B64"/>
    <w:rsid w:val="00507C10"/>
    <w:rsid w:val="00516A78"/>
    <w:rsid w:val="0052057A"/>
    <w:rsid w:val="00522AD8"/>
    <w:rsid w:val="00532451"/>
    <w:rsid w:val="005365E1"/>
    <w:rsid w:val="00541888"/>
    <w:rsid w:val="00551C46"/>
    <w:rsid w:val="00554926"/>
    <w:rsid w:val="0055553A"/>
    <w:rsid w:val="005611E9"/>
    <w:rsid w:val="00567E2C"/>
    <w:rsid w:val="00571149"/>
    <w:rsid w:val="00573734"/>
    <w:rsid w:val="00575D5F"/>
    <w:rsid w:val="00577556"/>
    <w:rsid w:val="005873DE"/>
    <w:rsid w:val="005903AD"/>
    <w:rsid w:val="005964E2"/>
    <w:rsid w:val="00596E42"/>
    <w:rsid w:val="005A29A6"/>
    <w:rsid w:val="005A4921"/>
    <w:rsid w:val="005B3F49"/>
    <w:rsid w:val="005B74F1"/>
    <w:rsid w:val="005E0A61"/>
    <w:rsid w:val="005E23E2"/>
    <w:rsid w:val="005E3A86"/>
    <w:rsid w:val="005E4765"/>
    <w:rsid w:val="005E7046"/>
    <w:rsid w:val="005F6CB0"/>
    <w:rsid w:val="00600EFA"/>
    <w:rsid w:val="00602F11"/>
    <w:rsid w:val="0060547B"/>
    <w:rsid w:val="006063A2"/>
    <w:rsid w:val="00613604"/>
    <w:rsid w:val="006161B2"/>
    <w:rsid w:val="00616F6D"/>
    <w:rsid w:val="00620386"/>
    <w:rsid w:val="00620BDA"/>
    <w:rsid w:val="00622770"/>
    <w:rsid w:val="00627D21"/>
    <w:rsid w:val="00630744"/>
    <w:rsid w:val="00631052"/>
    <w:rsid w:val="0063177A"/>
    <w:rsid w:val="00631CE4"/>
    <w:rsid w:val="00635C33"/>
    <w:rsid w:val="0063771F"/>
    <w:rsid w:val="00637A9E"/>
    <w:rsid w:val="00647C80"/>
    <w:rsid w:val="0065056B"/>
    <w:rsid w:val="00651978"/>
    <w:rsid w:val="006544A4"/>
    <w:rsid w:val="006548FA"/>
    <w:rsid w:val="0065535E"/>
    <w:rsid w:val="006554B5"/>
    <w:rsid w:val="00663C50"/>
    <w:rsid w:val="0066553B"/>
    <w:rsid w:val="0066649A"/>
    <w:rsid w:val="006703D3"/>
    <w:rsid w:val="00671624"/>
    <w:rsid w:val="00676662"/>
    <w:rsid w:val="0067781A"/>
    <w:rsid w:val="006804BD"/>
    <w:rsid w:val="0068291D"/>
    <w:rsid w:val="00683233"/>
    <w:rsid w:val="00683D21"/>
    <w:rsid w:val="0068519C"/>
    <w:rsid w:val="006878CE"/>
    <w:rsid w:val="0069191F"/>
    <w:rsid w:val="00692631"/>
    <w:rsid w:val="006968BF"/>
    <w:rsid w:val="006A14B9"/>
    <w:rsid w:val="006A2457"/>
    <w:rsid w:val="006A6509"/>
    <w:rsid w:val="006A72A8"/>
    <w:rsid w:val="006A7D12"/>
    <w:rsid w:val="006B4260"/>
    <w:rsid w:val="006C1A2E"/>
    <w:rsid w:val="006C6E89"/>
    <w:rsid w:val="006C77D1"/>
    <w:rsid w:val="006C7F5A"/>
    <w:rsid w:val="006D7819"/>
    <w:rsid w:val="006D7A6D"/>
    <w:rsid w:val="006D7C87"/>
    <w:rsid w:val="006E1CE4"/>
    <w:rsid w:val="006E3CB5"/>
    <w:rsid w:val="006E3FE6"/>
    <w:rsid w:val="006E5B0C"/>
    <w:rsid w:val="006E61E6"/>
    <w:rsid w:val="006F1062"/>
    <w:rsid w:val="006F4E20"/>
    <w:rsid w:val="006F7473"/>
    <w:rsid w:val="00700111"/>
    <w:rsid w:val="007024ED"/>
    <w:rsid w:val="00707B0B"/>
    <w:rsid w:val="007108F3"/>
    <w:rsid w:val="00712D3C"/>
    <w:rsid w:val="0071436C"/>
    <w:rsid w:val="00716B9E"/>
    <w:rsid w:val="007231EA"/>
    <w:rsid w:val="00723A42"/>
    <w:rsid w:val="00725AC4"/>
    <w:rsid w:val="00737B09"/>
    <w:rsid w:val="00740D8D"/>
    <w:rsid w:val="0074731D"/>
    <w:rsid w:val="00756263"/>
    <w:rsid w:val="00757661"/>
    <w:rsid w:val="0076089F"/>
    <w:rsid w:val="00766422"/>
    <w:rsid w:val="00767255"/>
    <w:rsid w:val="00767345"/>
    <w:rsid w:val="00771584"/>
    <w:rsid w:val="00775658"/>
    <w:rsid w:val="00777FC1"/>
    <w:rsid w:val="00782263"/>
    <w:rsid w:val="00783C34"/>
    <w:rsid w:val="00787407"/>
    <w:rsid w:val="00790A75"/>
    <w:rsid w:val="0079203D"/>
    <w:rsid w:val="00792367"/>
    <w:rsid w:val="0079492F"/>
    <w:rsid w:val="007A4786"/>
    <w:rsid w:val="007B067B"/>
    <w:rsid w:val="007B78BF"/>
    <w:rsid w:val="007C2DC8"/>
    <w:rsid w:val="007C39FE"/>
    <w:rsid w:val="007C3B0F"/>
    <w:rsid w:val="007C5283"/>
    <w:rsid w:val="007C548E"/>
    <w:rsid w:val="007C5744"/>
    <w:rsid w:val="007D2D02"/>
    <w:rsid w:val="007D2EB7"/>
    <w:rsid w:val="007D62B4"/>
    <w:rsid w:val="007E6956"/>
    <w:rsid w:val="007E7708"/>
    <w:rsid w:val="007F4E44"/>
    <w:rsid w:val="0080172B"/>
    <w:rsid w:val="00801DB3"/>
    <w:rsid w:val="00803F89"/>
    <w:rsid w:val="00806A06"/>
    <w:rsid w:val="00807BFF"/>
    <w:rsid w:val="00807DFC"/>
    <w:rsid w:val="008113EE"/>
    <w:rsid w:val="00813CC7"/>
    <w:rsid w:val="00816018"/>
    <w:rsid w:val="00816F39"/>
    <w:rsid w:val="00817EED"/>
    <w:rsid w:val="00821E56"/>
    <w:rsid w:val="008267E7"/>
    <w:rsid w:val="00830B06"/>
    <w:rsid w:val="00831316"/>
    <w:rsid w:val="00832803"/>
    <w:rsid w:val="008349E6"/>
    <w:rsid w:val="0084103E"/>
    <w:rsid w:val="00850B33"/>
    <w:rsid w:val="00851C07"/>
    <w:rsid w:val="00861016"/>
    <w:rsid w:val="00861BDC"/>
    <w:rsid w:val="008669E5"/>
    <w:rsid w:val="00875B9A"/>
    <w:rsid w:val="00875CDD"/>
    <w:rsid w:val="00880280"/>
    <w:rsid w:val="00884E3A"/>
    <w:rsid w:val="00892D35"/>
    <w:rsid w:val="00894F22"/>
    <w:rsid w:val="00895485"/>
    <w:rsid w:val="00897756"/>
    <w:rsid w:val="008A0A23"/>
    <w:rsid w:val="008A3846"/>
    <w:rsid w:val="008A6B6A"/>
    <w:rsid w:val="008B192D"/>
    <w:rsid w:val="008B1D50"/>
    <w:rsid w:val="008B3D44"/>
    <w:rsid w:val="008B5646"/>
    <w:rsid w:val="008B793F"/>
    <w:rsid w:val="008C0096"/>
    <w:rsid w:val="008C1E4A"/>
    <w:rsid w:val="008C28D2"/>
    <w:rsid w:val="008C3A6A"/>
    <w:rsid w:val="008C7D2D"/>
    <w:rsid w:val="008D03DA"/>
    <w:rsid w:val="008D53EA"/>
    <w:rsid w:val="008D612C"/>
    <w:rsid w:val="008D6A99"/>
    <w:rsid w:val="008E1768"/>
    <w:rsid w:val="008E5C0C"/>
    <w:rsid w:val="008E5EFF"/>
    <w:rsid w:val="008E5FF5"/>
    <w:rsid w:val="008E6C6D"/>
    <w:rsid w:val="008E6DDC"/>
    <w:rsid w:val="008F184B"/>
    <w:rsid w:val="008F584E"/>
    <w:rsid w:val="008F7B64"/>
    <w:rsid w:val="00901470"/>
    <w:rsid w:val="00901DCE"/>
    <w:rsid w:val="00906E11"/>
    <w:rsid w:val="00907C02"/>
    <w:rsid w:val="00907FDD"/>
    <w:rsid w:val="00910DE3"/>
    <w:rsid w:val="00912D39"/>
    <w:rsid w:val="00915D71"/>
    <w:rsid w:val="00915EB9"/>
    <w:rsid w:val="00917445"/>
    <w:rsid w:val="009231A3"/>
    <w:rsid w:val="00925479"/>
    <w:rsid w:val="00926102"/>
    <w:rsid w:val="00931B09"/>
    <w:rsid w:val="00932810"/>
    <w:rsid w:val="009366AC"/>
    <w:rsid w:val="00940C38"/>
    <w:rsid w:val="009411B9"/>
    <w:rsid w:val="0095177C"/>
    <w:rsid w:val="00954BD0"/>
    <w:rsid w:val="00961381"/>
    <w:rsid w:val="00961771"/>
    <w:rsid w:val="009648DA"/>
    <w:rsid w:val="00972AA8"/>
    <w:rsid w:val="00973813"/>
    <w:rsid w:val="0097386C"/>
    <w:rsid w:val="009742E2"/>
    <w:rsid w:val="00975299"/>
    <w:rsid w:val="009755F6"/>
    <w:rsid w:val="00981737"/>
    <w:rsid w:val="00982216"/>
    <w:rsid w:val="0098384E"/>
    <w:rsid w:val="009843D9"/>
    <w:rsid w:val="00991088"/>
    <w:rsid w:val="00991C93"/>
    <w:rsid w:val="009957F8"/>
    <w:rsid w:val="00997599"/>
    <w:rsid w:val="009A63B3"/>
    <w:rsid w:val="009A79B9"/>
    <w:rsid w:val="009B4862"/>
    <w:rsid w:val="009B5CB5"/>
    <w:rsid w:val="009B60DB"/>
    <w:rsid w:val="009B6C18"/>
    <w:rsid w:val="009C36F8"/>
    <w:rsid w:val="009C4535"/>
    <w:rsid w:val="009C4726"/>
    <w:rsid w:val="009C7865"/>
    <w:rsid w:val="009D23DB"/>
    <w:rsid w:val="009D3815"/>
    <w:rsid w:val="009D3E0D"/>
    <w:rsid w:val="009D5F41"/>
    <w:rsid w:val="009E6C78"/>
    <w:rsid w:val="009F16D8"/>
    <w:rsid w:val="009F2A71"/>
    <w:rsid w:val="00A04A74"/>
    <w:rsid w:val="00A0637E"/>
    <w:rsid w:val="00A07394"/>
    <w:rsid w:val="00A112A8"/>
    <w:rsid w:val="00A11447"/>
    <w:rsid w:val="00A15017"/>
    <w:rsid w:val="00A17BEE"/>
    <w:rsid w:val="00A25D0C"/>
    <w:rsid w:val="00A26B1E"/>
    <w:rsid w:val="00A31AE5"/>
    <w:rsid w:val="00A425AF"/>
    <w:rsid w:val="00A438FC"/>
    <w:rsid w:val="00A44907"/>
    <w:rsid w:val="00A51515"/>
    <w:rsid w:val="00A51AC1"/>
    <w:rsid w:val="00A526AF"/>
    <w:rsid w:val="00A52975"/>
    <w:rsid w:val="00A55874"/>
    <w:rsid w:val="00A6020D"/>
    <w:rsid w:val="00A63AD3"/>
    <w:rsid w:val="00A64886"/>
    <w:rsid w:val="00A66A9D"/>
    <w:rsid w:val="00A66C6C"/>
    <w:rsid w:val="00A70DB2"/>
    <w:rsid w:val="00A72DEE"/>
    <w:rsid w:val="00A752CA"/>
    <w:rsid w:val="00A76368"/>
    <w:rsid w:val="00A772CB"/>
    <w:rsid w:val="00A82D54"/>
    <w:rsid w:val="00A831EB"/>
    <w:rsid w:val="00A87375"/>
    <w:rsid w:val="00A939E2"/>
    <w:rsid w:val="00A943EC"/>
    <w:rsid w:val="00A95A30"/>
    <w:rsid w:val="00A96A5B"/>
    <w:rsid w:val="00AA018B"/>
    <w:rsid w:val="00AA1726"/>
    <w:rsid w:val="00AA1D34"/>
    <w:rsid w:val="00AA6ABF"/>
    <w:rsid w:val="00AA70EB"/>
    <w:rsid w:val="00AB19EC"/>
    <w:rsid w:val="00AB2A8B"/>
    <w:rsid w:val="00AB49D8"/>
    <w:rsid w:val="00AC4315"/>
    <w:rsid w:val="00AD13A5"/>
    <w:rsid w:val="00AD141C"/>
    <w:rsid w:val="00AD1890"/>
    <w:rsid w:val="00AD2AD8"/>
    <w:rsid w:val="00AD5D6E"/>
    <w:rsid w:val="00AD7AF4"/>
    <w:rsid w:val="00AE0438"/>
    <w:rsid w:val="00AE0813"/>
    <w:rsid w:val="00AE220F"/>
    <w:rsid w:val="00AE6E5D"/>
    <w:rsid w:val="00AF1096"/>
    <w:rsid w:val="00AF15C4"/>
    <w:rsid w:val="00AF50A6"/>
    <w:rsid w:val="00B01746"/>
    <w:rsid w:val="00B032C5"/>
    <w:rsid w:val="00B07F8D"/>
    <w:rsid w:val="00B16CF7"/>
    <w:rsid w:val="00B232A6"/>
    <w:rsid w:val="00B31486"/>
    <w:rsid w:val="00B335E2"/>
    <w:rsid w:val="00B36223"/>
    <w:rsid w:val="00B543DD"/>
    <w:rsid w:val="00B562E2"/>
    <w:rsid w:val="00B57DC8"/>
    <w:rsid w:val="00B674AA"/>
    <w:rsid w:val="00B6777E"/>
    <w:rsid w:val="00B70542"/>
    <w:rsid w:val="00B712AE"/>
    <w:rsid w:val="00B874D9"/>
    <w:rsid w:val="00B91033"/>
    <w:rsid w:val="00B936B9"/>
    <w:rsid w:val="00B9625C"/>
    <w:rsid w:val="00B976AA"/>
    <w:rsid w:val="00BA74CF"/>
    <w:rsid w:val="00BA7B27"/>
    <w:rsid w:val="00BB257D"/>
    <w:rsid w:val="00BC463C"/>
    <w:rsid w:val="00BC76D9"/>
    <w:rsid w:val="00BD01DD"/>
    <w:rsid w:val="00BE1FC0"/>
    <w:rsid w:val="00BE53F3"/>
    <w:rsid w:val="00BF606D"/>
    <w:rsid w:val="00BF7EFF"/>
    <w:rsid w:val="00C07CCF"/>
    <w:rsid w:val="00C10D30"/>
    <w:rsid w:val="00C1143B"/>
    <w:rsid w:val="00C124C0"/>
    <w:rsid w:val="00C12C28"/>
    <w:rsid w:val="00C20BC0"/>
    <w:rsid w:val="00C25CA3"/>
    <w:rsid w:val="00C270BE"/>
    <w:rsid w:val="00C3030B"/>
    <w:rsid w:val="00C32BB5"/>
    <w:rsid w:val="00C427A5"/>
    <w:rsid w:val="00C5412F"/>
    <w:rsid w:val="00C5499B"/>
    <w:rsid w:val="00C562C9"/>
    <w:rsid w:val="00C62328"/>
    <w:rsid w:val="00C72D6F"/>
    <w:rsid w:val="00C7495D"/>
    <w:rsid w:val="00C74E24"/>
    <w:rsid w:val="00C80795"/>
    <w:rsid w:val="00C82DED"/>
    <w:rsid w:val="00C85A18"/>
    <w:rsid w:val="00C87151"/>
    <w:rsid w:val="00C87F9E"/>
    <w:rsid w:val="00C95662"/>
    <w:rsid w:val="00C967B9"/>
    <w:rsid w:val="00C96A08"/>
    <w:rsid w:val="00CA12F1"/>
    <w:rsid w:val="00CA1A69"/>
    <w:rsid w:val="00CA6442"/>
    <w:rsid w:val="00CA6DD9"/>
    <w:rsid w:val="00CB2795"/>
    <w:rsid w:val="00CB4EE7"/>
    <w:rsid w:val="00CC0260"/>
    <w:rsid w:val="00CC1751"/>
    <w:rsid w:val="00CC6471"/>
    <w:rsid w:val="00CD1DF0"/>
    <w:rsid w:val="00CD691B"/>
    <w:rsid w:val="00CD6F73"/>
    <w:rsid w:val="00CE156B"/>
    <w:rsid w:val="00CE3A89"/>
    <w:rsid w:val="00CE60B7"/>
    <w:rsid w:val="00CE709E"/>
    <w:rsid w:val="00CE7F1C"/>
    <w:rsid w:val="00CF5C93"/>
    <w:rsid w:val="00D00E83"/>
    <w:rsid w:val="00D061B8"/>
    <w:rsid w:val="00D0748D"/>
    <w:rsid w:val="00D12E77"/>
    <w:rsid w:val="00D13ED8"/>
    <w:rsid w:val="00D165C9"/>
    <w:rsid w:val="00D16EBD"/>
    <w:rsid w:val="00D218D3"/>
    <w:rsid w:val="00D23F43"/>
    <w:rsid w:val="00D258AB"/>
    <w:rsid w:val="00D31051"/>
    <w:rsid w:val="00D343B0"/>
    <w:rsid w:val="00D35E86"/>
    <w:rsid w:val="00D43602"/>
    <w:rsid w:val="00D443E2"/>
    <w:rsid w:val="00D51DA1"/>
    <w:rsid w:val="00D53E9C"/>
    <w:rsid w:val="00D56448"/>
    <w:rsid w:val="00D603B8"/>
    <w:rsid w:val="00D6065A"/>
    <w:rsid w:val="00D63537"/>
    <w:rsid w:val="00D66089"/>
    <w:rsid w:val="00D66D07"/>
    <w:rsid w:val="00D71B19"/>
    <w:rsid w:val="00D73D38"/>
    <w:rsid w:val="00D74CA0"/>
    <w:rsid w:val="00D768DD"/>
    <w:rsid w:val="00D86B28"/>
    <w:rsid w:val="00D876BF"/>
    <w:rsid w:val="00D87EC9"/>
    <w:rsid w:val="00D96220"/>
    <w:rsid w:val="00D9749C"/>
    <w:rsid w:val="00DB2471"/>
    <w:rsid w:val="00DB4570"/>
    <w:rsid w:val="00DB4AB7"/>
    <w:rsid w:val="00DB4DC8"/>
    <w:rsid w:val="00DB5022"/>
    <w:rsid w:val="00DC06AA"/>
    <w:rsid w:val="00DC35B5"/>
    <w:rsid w:val="00DC4125"/>
    <w:rsid w:val="00DC78F2"/>
    <w:rsid w:val="00DD1A17"/>
    <w:rsid w:val="00DD6F63"/>
    <w:rsid w:val="00DE4A76"/>
    <w:rsid w:val="00DE6DFA"/>
    <w:rsid w:val="00DF1742"/>
    <w:rsid w:val="00DF2919"/>
    <w:rsid w:val="00DF49DE"/>
    <w:rsid w:val="00DF62E5"/>
    <w:rsid w:val="00DF75BC"/>
    <w:rsid w:val="00E023FB"/>
    <w:rsid w:val="00E055C9"/>
    <w:rsid w:val="00E05C8E"/>
    <w:rsid w:val="00E125A5"/>
    <w:rsid w:val="00E15FDD"/>
    <w:rsid w:val="00E16012"/>
    <w:rsid w:val="00E17DB0"/>
    <w:rsid w:val="00E2249D"/>
    <w:rsid w:val="00E26A16"/>
    <w:rsid w:val="00E3068D"/>
    <w:rsid w:val="00E318B1"/>
    <w:rsid w:val="00E33C18"/>
    <w:rsid w:val="00E35162"/>
    <w:rsid w:val="00E35A21"/>
    <w:rsid w:val="00E439E7"/>
    <w:rsid w:val="00E4475D"/>
    <w:rsid w:val="00E51EBF"/>
    <w:rsid w:val="00E55D58"/>
    <w:rsid w:val="00E658F2"/>
    <w:rsid w:val="00E672A7"/>
    <w:rsid w:val="00E6772D"/>
    <w:rsid w:val="00E70AC7"/>
    <w:rsid w:val="00E73E3F"/>
    <w:rsid w:val="00E76928"/>
    <w:rsid w:val="00E76B0A"/>
    <w:rsid w:val="00E77700"/>
    <w:rsid w:val="00E81C9C"/>
    <w:rsid w:val="00E8489D"/>
    <w:rsid w:val="00E852F2"/>
    <w:rsid w:val="00E91F93"/>
    <w:rsid w:val="00E94A72"/>
    <w:rsid w:val="00EA1923"/>
    <w:rsid w:val="00EA335A"/>
    <w:rsid w:val="00EA653B"/>
    <w:rsid w:val="00EA7338"/>
    <w:rsid w:val="00EB15B8"/>
    <w:rsid w:val="00EB18D7"/>
    <w:rsid w:val="00EB2A41"/>
    <w:rsid w:val="00EC74C4"/>
    <w:rsid w:val="00EC7F43"/>
    <w:rsid w:val="00ED1C55"/>
    <w:rsid w:val="00ED2999"/>
    <w:rsid w:val="00ED7962"/>
    <w:rsid w:val="00EE264D"/>
    <w:rsid w:val="00EE3D3F"/>
    <w:rsid w:val="00EE60CC"/>
    <w:rsid w:val="00EF0077"/>
    <w:rsid w:val="00EF3CAD"/>
    <w:rsid w:val="00EF41E6"/>
    <w:rsid w:val="00EF6C76"/>
    <w:rsid w:val="00F02B4A"/>
    <w:rsid w:val="00F062E2"/>
    <w:rsid w:val="00F06C20"/>
    <w:rsid w:val="00F20C1F"/>
    <w:rsid w:val="00F24621"/>
    <w:rsid w:val="00F25085"/>
    <w:rsid w:val="00F26EB1"/>
    <w:rsid w:val="00F27C22"/>
    <w:rsid w:val="00F408F2"/>
    <w:rsid w:val="00F47DE0"/>
    <w:rsid w:val="00F53024"/>
    <w:rsid w:val="00F54D08"/>
    <w:rsid w:val="00F55A9F"/>
    <w:rsid w:val="00F5641F"/>
    <w:rsid w:val="00F6684D"/>
    <w:rsid w:val="00F708E2"/>
    <w:rsid w:val="00F76BCE"/>
    <w:rsid w:val="00F80CC0"/>
    <w:rsid w:val="00F81C45"/>
    <w:rsid w:val="00F84CE6"/>
    <w:rsid w:val="00F8523C"/>
    <w:rsid w:val="00F861E4"/>
    <w:rsid w:val="00F92598"/>
    <w:rsid w:val="00F970CF"/>
    <w:rsid w:val="00FA0B1B"/>
    <w:rsid w:val="00FA1D21"/>
    <w:rsid w:val="00FA43AB"/>
    <w:rsid w:val="00FA5499"/>
    <w:rsid w:val="00FA724F"/>
    <w:rsid w:val="00FB267A"/>
    <w:rsid w:val="00FB5E1B"/>
    <w:rsid w:val="00FC20B3"/>
    <w:rsid w:val="00FC6D92"/>
    <w:rsid w:val="00FD08E0"/>
    <w:rsid w:val="00FD0A8E"/>
    <w:rsid w:val="00FD0C6D"/>
    <w:rsid w:val="00FD2727"/>
    <w:rsid w:val="00FD285A"/>
    <w:rsid w:val="00FE04FD"/>
    <w:rsid w:val="00FE44D6"/>
    <w:rsid w:val="00FF0B8D"/>
    <w:rsid w:val="00FF23CC"/>
    <w:rsid w:val="00FF46D0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023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D0"/>
    <w:pPr>
      <w:widowControl w:val="0"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C2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25CA3"/>
    <w:pPr>
      <w:keepNext/>
      <w:widowControl/>
      <w:numPr>
        <w:ilvl w:val="1"/>
        <w:numId w:val="2"/>
      </w:numPr>
      <w:spacing w:before="240" w:after="120" w:line="240" w:lineRule="auto"/>
      <w:mirrorIndents/>
      <w:outlineLvl w:val="1"/>
    </w:pPr>
    <w:rPr>
      <w:rFonts w:eastAsia="Times New Roman"/>
      <w:b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C21"/>
    <w:pPr>
      <w:keepNext/>
      <w:keepLines/>
      <w:spacing w:after="0" w:line="240" w:lineRule="auto"/>
      <w:jc w:val="right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B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EFF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7EFF"/>
  </w:style>
  <w:style w:type="paragraph" w:styleId="Footer">
    <w:name w:val="footer"/>
    <w:basedOn w:val="Normal"/>
    <w:link w:val="FooterChar"/>
    <w:uiPriority w:val="99"/>
    <w:unhideWhenUsed/>
    <w:rsid w:val="00BF7EFF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EFF"/>
  </w:style>
  <w:style w:type="paragraph" w:styleId="BalloonText">
    <w:name w:val="Balloon Text"/>
    <w:basedOn w:val="Normal"/>
    <w:link w:val="BalloonTextChar"/>
    <w:uiPriority w:val="99"/>
    <w:semiHidden/>
    <w:unhideWhenUsed/>
    <w:rsid w:val="009B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DB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2Char">
    <w:name w:val="Heading 2 Char"/>
    <w:basedOn w:val="DefaultParagraphFont"/>
    <w:link w:val="Heading2"/>
    <w:rsid w:val="00C25CA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4611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7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1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381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381"/>
    <w:rPr>
      <w:rFonts w:ascii="Times New Roman" w:eastAsia="Calibri" w:hAnsi="Times New Roman" w:cs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D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33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17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4C21"/>
    <w:rPr>
      <w:rFonts w:ascii="Times New Roman" w:eastAsiaTheme="majorEastAsia" w:hAnsi="Times New Roman" w:cstheme="majorBidi"/>
      <w:b/>
      <w:color w:val="000000" w:themeColor="text1"/>
      <w:sz w:val="28"/>
      <w:szCs w:val="2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5284B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3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35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35162"/>
    <w:pPr>
      <w:widowControl/>
      <w:spacing w:after="0"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91033"/>
    <w:pPr>
      <w:tabs>
        <w:tab w:val="left" w:pos="480"/>
        <w:tab w:val="right" w:leader="dot" w:pos="9061"/>
      </w:tabs>
      <w:spacing w:after="12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3516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5162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A6020D"/>
    <w:rPr>
      <w:color w:val="808080"/>
    </w:rPr>
  </w:style>
  <w:style w:type="table" w:styleId="LightList-Accent1">
    <w:name w:val="Light List Accent 1"/>
    <w:basedOn w:val="TableNormal"/>
    <w:uiPriority w:val="61"/>
    <w:semiHidden/>
    <w:unhideWhenUsed/>
    <w:rsid w:val="007F4E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7F4E4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rsid w:val="00AA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64C21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B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lv-LV"/>
    </w:rPr>
  </w:style>
  <w:style w:type="paragraph" w:styleId="Caption">
    <w:name w:val="caption"/>
    <w:basedOn w:val="Normal"/>
    <w:next w:val="Normal"/>
    <w:uiPriority w:val="35"/>
    <w:unhideWhenUsed/>
    <w:qFormat/>
    <w:rsid w:val="0023625D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GridTable4">
    <w:name w:val="Grid Table 4"/>
    <w:basedOn w:val="TableNormal"/>
    <w:uiPriority w:val="49"/>
    <w:rsid w:val="004C58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DF49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2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C04D-B578-4F4B-B7CB-FB536D09B2D9}"/>
      </w:docPartPr>
      <w:docPartBody>
        <w:p w:rsidR="008D34D6" w:rsidRDefault="00CF1ED6">
          <w:r w:rsidRPr="00B059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D6"/>
    <w:rsid w:val="00064D04"/>
    <w:rsid w:val="000674AD"/>
    <w:rsid w:val="00070A4F"/>
    <w:rsid w:val="00142037"/>
    <w:rsid w:val="001E41C9"/>
    <w:rsid w:val="00217324"/>
    <w:rsid w:val="002244EA"/>
    <w:rsid w:val="002253B1"/>
    <w:rsid w:val="002724DA"/>
    <w:rsid w:val="002C7EE8"/>
    <w:rsid w:val="002D1E26"/>
    <w:rsid w:val="00352AED"/>
    <w:rsid w:val="003E68D7"/>
    <w:rsid w:val="004507F6"/>
    <w:rsid w:val="004E067B"/>
    <w:rsid w:val="00562D81"/>
    <w:rsid w:val="00574AB2"/>
    <w:rsid w:val="005B147F"/>
    <w:rsid w:val="005C1EBC"/>
    <w:rsid w:val="00622770"/>
    <w:rsid w:val="006322EA"/>
    <w:rsid w:val="006548FA"/>
    <w:rsid w:val="006E3CB6"/>
    <w:rsid w:val="00725AC4"/>
    <w:rsid w:val="00737C93"/>
    <w:rsid w:val="0079203D"/>
    <w:rsid w:val="007C1E42"/>
    <w:rsid w:val="007C5127"/>
    <w:rsid w:val="007C5283"/>
    <w:rsid w:val="007E1961"/>
    <w:rsid w:val="0082641D"/>
    <w:rsid w:val="00827BF7"/>
    <w:rsid w:val="00883805"/>
    <w:rsid w:val="008B50A5"/>
    <w:rsid w:val="008C6704"/>
    <w:rsid w:val="008D34D6"/>
    <w:rsid w:val="009238A5"/>
    <w:rsid w:val="0094223D"/>
    <w:rsid w:val="00945987"/>
    <w:rsid w:val="00951EF7"/>
    <w:rsid w:val="00960361"/>
    <w:rsid w:val="00AA6ABF"/>
    <w:rsid w:val="00AD1F30"/>
    <w:rsid w:val="00BC3909"/>
    <w:rsid w:val="00C95662"/>
    <w:rsid w:val="00CD7519"/>
    <w:rsid w:val="00CF1ED6"/>
    <w:rsid w:val="00DD1A17"/>
    <w:rsid w:val="00E01A88"/>
    <w:rsid w:val="00E05C8E"/>
    <w:rsid w:val="00E5216D"/>
    <w:rsid w:val="00E87220"/>
    <w:rsid w:val="00E91F93"/>
    <w:rsid w:val="00EB53CF"/>
    <w:rsid w:val="00EC7F43"/>
    <w:rsid w:val="00ED73C9"/>
    <w:rsid w:val="00F343A5"/>
    <w:rsid w:val="00FA5499"/>
    <w:rsid w:val="00F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9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CC68-CD1A-4E6C-878C-1FB898FA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16616</Words>
  <Characters>9472</Characters>
  <Application>Microsoft Office Word</Application>
  <DocSecurity>0</DocSecurity>
  <Lines>78</Lines>
  <Paragraphs>52</Paragraphs>
  <ScaleCrop>false</ScaleCrop>
  <Company/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2025-07-29T08:44:00Z</dcterms:created>
  <dcterms:modified xsi:type="dcterms:W3CDTF">2025-07-29T09:04:00Z</dcterms:modified>
</cp:coreProperties>
</file>