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 xml:space="preserve">Virs ES sliekšņa </w:t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br/>
      </w:r>
      <w:hyperlink r:id="rId5" w:tooltip="title" w:history="1">
        <w:r w:rsidRPr="00A05FC0">
          <w:rPr>
            <w:rFonts w:cs="Times New Roman"/>
            <w:color w:val="4C4C4C"/>
            <w:sz w:val="21"/>
            <w:szCs w:val="21"/>
            <w:u w:val="single"/>
            <w:lang w:val="lv-LV" w:eastAsia="lv-LV" w:bidi="ar-SA"/>
          </w:rPr>
          <w:t>Izdrukāt</w:t>
        </w:r>
      </w:hyperlink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 xml:space="preserve"> </w:t>
      </w:r>
    </w:p>
    <w:p w:rsidR="00A05FC0" w:rsidRPr="00A05FC0" w:rsidRDefault="00A05FC0" w:rsidP="00A05FC0">
      <w:pPr>
        <w:spacing w:line="300" w:lineRule="atLeast"/>
        <w:outlineLvl w:val="0"/>
        <w:rPr>
          <w:rFonts w:ascii="RobotoSlab-Regular-2" w:hAnsi="RobotoSlab-Regular-2" w:cs="Arial"/>
          <w:color w:val="4C4C4C"/>
          <w:kern w:val="36"/>
          <w:sz w:val="54"/>
          <w:szCs w:val="54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kern w:val="36"/>
          <w:sz w:val="54"/>
          <w:szCs w:val="54"/>
          <w:lang w:val="lv-LV" w:eastAsia="lv-LV" w:bidi="ar-SA"/>
        </w:rPr>
        <w:t>Paziņojums par grozījumiem, iepirkuma procedūras izbeigšanu vai pārtraukšanu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Publicēšanas datums: 09/12/2016</w:t>
      </w:r>
    </w:p>
    <w:p w:rsidR="00A05FC0" w:rsidRPr="00A05FC0" w:rsidRDefault="00A05FC0" w:rsidP="00A05FC0">
      <w:pPr>
        <w:spacing w:line="300" w:lineRule="atLeast"/>
        <w:outlineLvl w:val="1"/>
        <w:rPr>
          <w:rFonts w:ascii="RobotoSlab-Regular-2" w:hAnsi="RobotoSlab-Regular-2" w:cs="Arial"/>
          <w:color w:val="4C4C4C"/>
          <w:sz w:val="48"/>
          <w:szCs w:val="48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48"/>
          <w:szCs w:val="48"/>
          <w:lang w:val="lv-LV" w:eastAsia="lv-LV" w:bidi="ar-SA"/>
        </w:rPr>
        <w:t>I IEDAĻA. Pasūtītājs</w:t>
      </w:r>
    </w:p>
    <w:p w:rsidR="00A05FC0" w:rsidRPr="00A05FC0" w:rsidRDefault="00A05FC0" w:rsidP="00A05FC0">
      <w:pPr>
        <w:spacing w:line="300" w:lineRule="atLeast"/>
        <w:outlineLvl w:val="2"/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  <w:t>I.1</w:t>
      </w:r>
      <w:proofErr w:type="gramStart"/>
      <w:r w:rsidRPr="00A05FC0"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  <w:t xml:space="preserve"> )</w:t>
      </w:r>
      <w:proofErr w:type="gramEnd"/>
      <w:r w:rsidRPr="00A05FC0"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  <w:t xml:space="preserve"> Nosaukums, adreses un kontaktpunkts (-i)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Pilns nosaukums, reģistrācijas numurs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Valsts aizsardzības militāro objektu un iepirkumu centrs, 90009225180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Pasta adrese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Ernestīnes 34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Pilsēta / Novads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Rīga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Pasta indekss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LV-1046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Valsts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Latvija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Kontaktpunkts(-i)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 xml:space="preserve">Anna Juste 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 xml:space="preserve">Kontaktpersonas vārds, uzvārds 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Anna Juste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Tālruņa numurs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lastRenderedPageBreak/>
        <w:t>67300247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Faksa numurs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67300207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E-pasta adrese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anna.juste@vamoic.gov.lv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Interneta adreses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 xml:space="preserve">Vispārējā interneta adrese (URL): http://www.vamoic.gov.lv 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 xml:space="preserve">Pircēja profila adrese (URL): http://www.mod.gov.lv/Papildriki/Iepirkumi.aspx </w:t>
      </w:r>
    </w:p>
    <w:p w:rsidR="00A05FC0" w:rsidRPr="00A05FC0" w:rsidRDefault="00A05FC0" w:rsidP="00A05FC0">
      <w:pPr>
        <w:spacing w:line="300" w:lineRule="atLeast"/>
        <w:outlineLvl w:val="1"/>
        <w:rPr>
          <w:rFonts w:ascii="RobotoSlab-Regular-2" w:hAnsi="RobotoSlab-Regular-2" w:cs="Arial"/>
          <w:color w:val="4C4C4C"/>
          <w:sz w:val="48"/>
          <w:szCs w:val="48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48"/>
          <w:szCs w:val="48"/>
          <w:lang w:val="lv-LV" w:eastAsia="lv-LV" w:bidi="ar-SA"/>
        </w:rPr>
        <w:t>II IEDAĻA. Līguma priekšmets</w:t>
      </w:r>
    </w:p>
    <w:p w:rsidR="00A05FC0" w:rsidRPr="00A05FC0" w:rsidRDefault="00A05FC0" w:rsidP="00A05FC0">
      <w:pPr>
        <w:spacing w:line="300" w:lineRule="atLeast"/>
        <w:outlineLvl w:val="2"/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  <w:t>II.1. Apraksts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II.1.1) Sākotnējā paziņojumā norādītais iepirkuma līguma vai metu konkursa nosaukums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Kuģu dzinēju, palīgiekārtu un elektroiekārtu remonts un motorlaivu dzinēju sistēmas apkope un remonts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II.1.2) Sākotnējā paziņojumā ietvertais līguma, iepirkuma vai metu konkursa apraksts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Kuģu dzinēju, palīgiekārtu un elektroiekārtu remonts un motorlaivu dzinēju sistēmas apkope un remonts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II.1.3) Sākotnējā paziņojumā norādītais iepirkuma nomenklatūras (CPV) galvenais kods, papildu kods, kā arī papildvārdnīcas (ja tā piemērojama) kods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740"/>
      </w:tblGrid>
      <w:tr w:rsidR="00A05FC0" w:rsidRPr="00A05FC0" w:rsidTr="00A05FC0">
        <w:trPr>
          <w:tblHeader/>
        </w:trPr>
        <w:tc>
          <w:tcPr>
            <w:tcW w:w="0" w:type="auto"/>
            <w:vAlign w:val="center"/>
            <w:hideMark/>
          </w:tcPr>
          <w:p w:rsidR="00A05FC0" w:rsidRPr="00A05FC0" w:rsidRDefault="00A05FC0" w:rsidP="00A05FC0">
            <w:pPr>
              <w:spacing w:line="300" w:lineRule="atLeast"/>
              <w:jc w:val="center"/>
              <w:rPr>
                <w:rFonts w:ascii="RobotoSlab-Regular-2" w:hAnsi="RobotoSlab-Regular-2" w:cs="Arial"/>
                <w:b/>
                <w:bCs/>
                <w:color w:val="4C4C4C"/>
                <w:sz w:val="21"/>
                <w:szCs w:val="21"/>
                <w:lang w:val="lv-LV" w:eastAsia="lv-LV" w:bidi="ar-SA"/>
              </w:rPr>
            </w:pPr>
            <w:r w:rsidRPr="00A05FC0">
              <w:rPr>
                <w:rFonts w:ascii="RobotoSlab-Regular-2" w:hAnsi="RobotoSlab-Regular-2" w:cs="Arial"/>
                <w:b/>
                <w:bCs/>
                <w:color w:val="4C4C4C"/>
                <w:sz w:val="21"/>
                <w:szCs w:val="21"/>
                <w:lang w:val="lv-LV" w:eastAsia="lv-LV" w:bidi="ar-SA"/>
              </w:rPr>
              <w:t>Galvenais priekšmets</w:t>
            </w:r>
          </w:p>
        </w:tc>
        <w:tc>
          <w:tcPr>
            <w:tcW w:w="0" w:type="auto"/>
            <w:vAlign w:val="center"/>
            <w:hideMark/>
          </w:tcPr>
          <w:p w:rsidR="00A05FC0" w:rsidRPr="00A05FC0" w:rsidRDefault="00A05FC0" w:rsidP="00A05FC0">
            <w:pPr>
              <w:spacing w:line="300" w:lineRule="atLeast"/>
              <w:jc w:val="center"/>
              <w:rPr>
                <w:rFonts w:ascii="RobotoSlab-Regular-2" w:hAnsi="RobotoSlab-Regular-2" w:cs="Arial"/>
                <w:b/>
                <w:bCs/>
                <w:color w:val="4C4C4C"/>
                <w:sz w:val="21"/>
                <w:szCs w:val="21"/>
                <w:lang w:val="lv-LV" w:eastAsia="lv-LV" w:bidi="ar-SA"/>
              </w:rPr>
            </w:pPr>
            <w:r w:rsidRPr="00A05FC0">
              <w:rPr>
                <w:rFonts w:ascii="RobotoSlab-Regular-2" w:hAnsi="RobotoSlab-Regular-2" w:cs="Arial"/>
                <w:b/>
                <w:bCs/>
                <w:color w:val="4C4C4C"/>
                <w:sz w:val="21"/>
                <w:szCs w:val="21"/>
                <w:lang w:val="lv-LV" w:eastAsia="lv-LV" w:bidi="ar-SA"/>
              </w:rPr>
              <w:t>Papildu priekšmeti</w:t>
            </w:r>
          </w:p>
        </w:tc>
      </w:tr>
      <w:tr w:rsidR="00A05FC0" w:rsidRPr="00A05FC0" w:rsidTr="00A05FC0">
        <w:tc>
          <w:tcPr>
            <w:tcW w:w="0" w:type="auto"/>
            <w:hideMark/>
          </w:tcPr>
          <w:p w:rsidR="00A05FC0" w:rsidRPr="00A05FC0" w:rsidRDefault="00A05FC0" w:rsidP="00A05FC0">
            <w:pPr>
              <w:spacing w:line="300" w:lineRule="atLeast"/>
              <w:rPr>
                <w:rFonts w:ascii="RobotoSlab-Regular-2" w:hAnsi="RobotoSlab-Regular-2" w:cs="Arial"/>
                <w:color w:val="4C4C4C"/>
                <w:sz w:val="21"/>
                <w:szCs w:val="21"/>
                <w:lang w:val="lv-LV" w:eastAsia="lv-LV" w:bidi="ar-SA"/>
              </w:rPr>
            </w:pPr>
            <w:r w:rsidRPr="00A05FC0">
              <w:rPr>
                <w:rFonts w:ascii="RobotoSlab-Regular-2" w:hAnsi="RobotoSlab-Regular-2" w:cs="Arial"/>
                <w:color w:val="4C4C4C"/>
                <w:sz w:val="21"/>
                <w:szCs w:val="21"/>
                <w:lang w:val="lv-LV" w:eastAsia="lv-LV" w:bidi="ar-SA"/>
              </w:rPr>
              <w:t>50640000-3</w:t>
            </w:r>
          </w:p>
        </w:tc>
        <w:tc>
          <w:tcPr>
            <w:tcW w:w="0" w:type="auto"/>
            <w:hideMark/>
          </w:tcPr>
          <w:p w:rsidR="00A05FC0" w:rsidRPr="00A05FC0" w:rsidRDefault="00A05FC0" w:rsidP="00A05FC0">
            <w:pPr>
              <w:spacing w:line="300" w:lineRule="atLeast"/>
              <w:rPr>
                <w:rFonts w:ascii="RobotoSlab-Regular-2" w:hAnsi="RobotoSlab-Regular-2" w:cs="Arial"/>
                <w:color w:val="4C4C4C"/>
                <w:sz w:val="21"/>
                <w:szCs w:val="21"/>
                <w:lang w:val="lv-LV" w:eastAsia="lv-LV" w:bidi="ar-SA"/>
              </w:rPr>
            </w:pPr>
          </w:p>
        </w:tc>
      </w:tr>
    </w:tbl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</w:p>
    <w:p w:rsidR="00A05FC0" w:rsidRPr="00A05FC0" w:rsidRDefault="00A05FC0" w:rsidP="00A05FC0">
      <w:pPr>
        <w:spacing w:line="300" w:lineRule="atLeast"/>
        <w:outlineLvl w:val="1"/>
        <w:rPr>
          <w:rFonts w:ascii="RobotoSlab-Regular-2" w:hAnsi="RobotoSlab-Regular-2" w:cs="Arial"/>
          <w:color w:val="4C4C4C"/>
          <w:sz w:val="48"/>
          <w:szCs w:val="48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48"/>
          <w:szCs w:val="48"/>
          <w:lang w:val="lv-LV" w:eastAsia="lv-LV" w:bidi="ar-SA"/>
        </w:rPr>
        <w:t>III IEDAĻA: PROCEDŪRA</w:t>
      </w:r>
    </w:p>
    <w:p w:rsidR="00A05FC0" w:rsidRPr="00A05FC0" w:rsidRDefault="00A05FC0" w:rsidP="00A05FC0">
      <w:pPr>
        <w:spacing w:line="300" w:lineRule="atLeast"/>
        <w:outlineLvl w:val="2"/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  <w:t>III.1. Procedūras veids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lastRenderedPageBreak/>
        <w:t>III.1.1) Sākotnējā paziņojumā norādītais tās iepirkuma procedūras veids, kas izraudzīta līguma slēgšanas tiesību piešķiršanai, vai norāde par metu konkursu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Atklāta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Slēgta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Paātrināta slēgta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Sarunu procedūra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Paātrināta sarunu procedūra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Konkursa dialogs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Metu konkurss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Sarunu procedūra, iepriekš nepublicējot paziņojumu par līgumu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Līguma slēgšanas tiesību piešķiršana, iepriekš nepublicējot paziņojumu par līgumu (B daļas pakalpojumi)</w:t>
      </w:r>
    </w:p>
    <w:p w:rsidR="00A05FC0" w:rsidRPr="00A05FC0" w:rsidRDefault="00A05FC0" w:rsidP="00A05FC0">
      <w:pPr>
        <w:spacing w:line="300" w:lineRule="atLeast"/>
        <w:outlineLvl w:val="2"/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  <w:t>III.2. Administratīvā informācija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III.2.1) Sākotnējā paziņojumā norādītais iepirkuma identifikācijas numurs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VAMOIC 2016/176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III.2.2) Sākotnējā paziņojuma publicēšanas datums un reģistrācijas numurs (ja piešķirts)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 xml:space="preserve">Paziņojuma reģistrācijas numurs un publicēšanas datums OV: 2016/S 190-342146 01/10/2016 </w:t>
      </w:r>
      <w:r w:rsidRPr="00A05FC0">
        <w:rPr>
          <w:rFonts w:ascii="RobotoSlab-Regular-2" w:hAnsi="RobotoSlab-Regular-2" w:cs="Arial"/>
          <w:i/>
          <w:iCs/>
          <w:color w:val="4C4C4C"/>
          <w:sz w:val="21"/>
          <w:szCs w:val="21"/>
          <w:lang w:val="lv-LV" w:eastAsia="lv-LV" w:bidi="ar-SA"/>
        </w:rPr>
        <w:t>(</w:t>
      </w:r>
      <w:proofErr w:type="spellStart"/>
      <w:r w:rsidRPr="00A05FC0">
        <w:rPr>
          <w:rFonts w:ascii="RobotoSlab-Regular-2" w:hAnsi="RobotoSlab-Regular-2" w:cs="Arial"/>
          <w:i/>
          <w:iCs/>
          <w:color w:val="4C4C4C"/>
          <w:sz w:val="21"/>
          <w:szCs w:val="21"/>
          <w:lang w:val="lv-LV" w:eastAsia="lv-LV" w:bidi="ar-SA"/>
        </w:rPr>
        <w:t>dd</w:t>
      </w:r>
      <w:proofErr w:type="spellEnd"/>
      <w:r w:rsidRPr="00A05FC0">
        <w:rPr>
          <w:rFonts w:ascii="RobotoSlab-Regular-2" w:hAnsi="RobotoSlab-Regular-2" w:cs="Arial"/>
          <w:i/>
          <w:iCs/>
          <w:color w:val="4C4C4C"/>
          <w:sz w:val="21"/>
          <w:szCs w:val="21"/>
          <w:lang w:val="lv-LV" w:eastAsia="lv-LV" w:bidi="ar-SA"/>
        </w:rPr>
        <w:t>/mm/</w:t>
      </w:r>
      <w:proofErr w:type="spellStart"/>
      <w:r w:rsidRPr="00A05FC0">
        <w:rPr>
          <w:rFonts w:ascii="RobotoSlab-Regular-2" w:hAnsi="RobotoSlab-Regular-2" w:cs="Arial"/>
          <w:i/>
          <w:iCs/>
          <w:color w:val="4C4C4C"/>
          <w:sz w:val="21"/>
          <w:szCs w:val="21"/>
          <w:lang w:val="lv-LV" w:eastAsia="lv-LV" w:bidi="ar-SA"/>
        </w:rPr>
        <w:t>gggg</w:t>
      </w:r>
      <w:proofErr w:type="spellEnd"/>
      <w:r w:rsidRPr="00A05FC0">
        <w:rPr>
          <w:rFonts w:ascii="RobotoSlab-Regular-2" w:hAnsi="RobotoSlab-Regular-2" w:cs="Arial"/>
          <w:i/>
          <w:iCs/>
          <w:color w:val="4C4C4C"/>
          <w:sz w:val="21"/>
          <w:szCs w:val="21"/>
          <w:lang w:val="lv-LV" w:eastAsia="lv-LV" w:bidi="ar-SA"/>
        </w:rPr>
        <w:t>)</w:t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br/>
        <w:t xml:space="preserve">Paziņojuma publicēšanas datums IUB mājaslapā: 30/09/2016 </w:t>
      </w:r>
      <w:r w:rsidRPr="00A05FC0">
        <w:rPr>
          <w:rFonts w:ascii="RobotoSlab-Regular-2" w:hAnsi="RobotoSlab-Regular-2" w:cs="Arial"/>
          <w:i/>
          <w:iCs/>
          <w:color w:val="4C4C4C"/>
          <w:sz w:val="21"/>
          <w:szCs w:val="21"/>
          <w:lang w:val="lv-LV" w:eastAsia="lv-LV" w:bidi="ar-SA"/>
        </w:rPr>
        <w:t>(</w:t>
      </w:r>
      <w:proofErr w:type="spellStart"/>
      <w:r w:rsidRPr="00A05FC0">
        <w:rPr>
          <w:rFonts w:ascii="RobotoSlab-Regular-2" w:hAnsi="RobotoSlab-Regular-2" w:cs="Arial"/>
          <w:i/>
          <w:iCs/>
          <w:color w:val="4C4C4C"/>
          <w:sz w:val="21"/>
          <w:szCs w:val="21"/>
          <w:lang w:val="lv-LV" w:eastAsia="lv-LV" w:bidi="ar-SA"/>
        </w:rPr>
        <w:t>dd</w:t>
      </w:r>
      <w:proofErr w:type="spellEnd"/>
      <w:r w:rsidRPr="00A05FC0">
        <w:rPr>
          <w:rFonts w:ascii="RobotoSlab-Regular-2" w:hAnsi="RobotoSlab-Regular-2" w:cs="Arial"/>
          <w:i/>
          <w:iCs/>
          <w:color w:val="4C4C4C"/>
          <w:sz w:val="21"/>
          <w:szCs w:val="21"/>
          <w:lang w:val="lv-LV" w:eastAsia="lv-LV" w:bidi="ar-SA"/>
        </w:rPr>
        <w:t>/mm/</w:t>
      </w:r>
      <w:proofErr w:type="spellStart"/>
      <w:r w:rsidRPr="00A05FC0">
        <w:rPr>
          <w:rFonts w:ascii="RobotoSlab-Regular-2" w:hAnsi="RobotoSlab-Regular-2" w:cs="Arial"/>
          <w:i/>
          <w:iCs/>
          <w:color w:val="4C4C4C"/>
          <w:sz w:val="21"/>
          <w:szCs w:val="21"/>
          <w:lang w:val="lv-LV" w:eastAsia="lv-LV" w:bidi="ar-SA"/>
        </w:rPr>
        <w:t>gggg</w:t>
      </w:r>
      <w:proofErr w:type="spellEnd"/>
      <w:r w:rsidRPr="00A05FC0">
        <w:rPr>
          <w:rFonts w:ascii="RobotoSlab-Regular-2" w:hAnsi="RobotoSlab-Regular-2" w:cs="Arial"/>
          <w:i/>
          <w:iCs/>
          <w:color w:val="4C4C4C"/>
          <w:sz w:val="21"/>
          <w:szCs w:val="21"/>
          <w:lang w:val="lv-LV" w:eastAsia="lv-LV" w:bidi="ar-SA"/>
        </w:rPr>
        <w:t>)</w:t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 xml:space="preserve"> 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III.2.3) Sākotnējā paziņojuma nosūtīšanas datums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 xml:space="preserve">30/09/2016 </w:t>
      </w:r>
      <w:r w:rsidRPr="00A05FC0">
        <w:rPr>
          <w:rFonts w:ascii="RobotoSlab-Regular-2" w:hAnsi="RobotoSlab-Regular-2" w:cs="Arial"/>
          <w:i/>
          <w:iCs/>
          <w:color w:val="4C4C4C"/>
          <w:sz w:val="21"/>
          <w:szCs w:val="21"/>
          <w:lang w:val="lv-LV" w:eastAsia="lv-LV" w:bidi="ar-SA"/>
        </w:rPr>
        <w:t>(</w:t>
      </w:r>
      <w:proofErr w:type="spellStart"/>
      <w:r w:rsidRPr="00A05FC0">
        <w:rPr>
          <w:rFonts w:ascii="RobotoSlab-Regular-2" w:hAnsi="RobotoSlab-Regular-2" w:cs="Arial"/>
          <w:i/>
          <w:iCs/>
          <w:color w:val="4C4C4C"/>
          <w:sz w:val="21"/>
          <w:szCs w:val="21"/>
          <w:lang w:val="lv-LV" w:eastAsia="lv-LV" w:bidi="ar-SA"/>
        </w:rPr>
        <w:t>dd</w:t>
      </w:r>
      <w:proofErr w:type="spellEnd"/>
      <w:r w:rsidRPr="00A05FC0">
        <w:rPr>
          <w:rFonts w:ascii="RobotoSlab-Regular-2" w:hAnsi="RobotoSlab-Regular-2" w:cs="Arial"/>
          <w:i/>
          <w:iCs/>
          <w:color w:val="4C4C4C"/>
          <w:sz w:val="21"/>
          <w:szCs w:val="21"/>
          <w:lang w:val="lv-LV" w:eastAsia="lv-LV" w:bidi="ar-SA"/>
        </w:rPr>
        <w:t>/mm/</w:t>
      </w:r>
      <w:proofErr w:type="spellStart"/>
      <w:r w:rsidRPr="00A05FC0">
        <w:rPr>
          <w:rFonts w:ascii="RobotoSlab-Regular-2" w:hAnsi="RobotoSlab-Regular-2" w:cs="Arial"/>
          <w:i/>
          <w:iCs/>
          <w:color w:val="4C4C4C"/>
          <w:sz w:val="21"/>
          <w:szCs w:val="21"/>
          <w:lang w:val="lv-LV" w:eastAsia="lv-LV" w:bidi="ar-SA"/>
        </w:rPr>
        <w:t>gggg</w:t>
      </w:r>
      <w:proofErr w:type="spellEnd"/>
      <w:r w:rsidRPr="00A05FC0">
        <w:rPr>
          <w:rFonts w:ascii="RobotoSlab-Regular-2" w:hAnsi="RobotoSlab-Regular-2" w:cs="Arial"/>
          <w:i/>
          <w:iCs/>
          <w:color w:val="4C4C4C"/>
          <w:sz w:val="21"/>
          <w:szCs w:val="21"/>
          <w:lang w:val="lv-LV" w:eastAsia="lv-LV" w:bidi="ar-SA"/>
        </w:rPr>
        <w:t>)</w:t>
      </w:r>
    </w:p>
    <w:p w:rsidR="00A05FC0" w:rsidRPr="00A05FC0" w:rsidRDefault="00A05FC0" w:rsidP="00A05FC0">
      <w:pPr>
        <w:spacing w:line="300" w:lineRule="atLeast"/>
        <w:outlineLvl w:val="1"/>
        <w:rPr>
          <w:rFonts w:ascii="RobotoSlab-Regular-2" w:hAnsi="RobotoSlab-Regular-2" w:cs="Arial"/>
          <w:color w:val="4C4C4C"/>
          <w:sz w:val="48"/>
          <w:szCs w:val="48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48"/>
          <w:szCs w:val="48"/>
          <w:lang w:val="lv-LV" w:eastAsia="lv-LV" w:bidi="ar-SA"/>
        </w:rPr>
        <w:t>IV IEDAĻA: PAPILDU INFORMĀCIJA</w:t>
      </w:r>
    </w:p>
    <w:p w:rsidR="00A05FC0" w:rsidRPr="00A05FC0" w:rsidRDefault="00A05FC0" w:rsidP="00A05FC0">
      <w:pPr>
        <w:spacing w:line="300" w:lineRule="atLeast"/>
        <w:outlineLvl w:val="2"/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  <w:t>IV.1. Paziņojuma saturs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Iepirkuma procedūras izbeigšana vai pārtraukšana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Labojums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Papildinājums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</w:p>
    <w:p w:rsidR="00A05FC0" w:rsidRPr="00A05FC0" w:rsidRDefault="00A05FC0" w:rsidP="00A05FC0">
      <w:pPr>
        <w:spacing w:line="300" w:lineRule="atLeast"/>
        <w:outlineLvl w:val="2"/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  <w:lastRenderedPageBreak/>
        <w:t>IV.2. Informācija par iepirkuma procedūras izbeigšanu vai pārtraukšanu (attiecīgā gadījumā atzīmējiet tik lodziņus, cik nepieciešams)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Iepirkuma procedūra tika pārtraukta.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Iepirkuma procedūra tika izbeigta.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Dinamiskā iepirkumu sistēma netika izveidota.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 xml:space="preserve">Paziņojums par līgumu vai paziņojums par metu konkursu varētu tikt publicēts atkārtoti. </w:t>
      </w:r>
    </w:p>
    <w:p w:rsidR="00A05FC0" w:rsidRPr="00A05FC0" w:rsidRDefault="00A05FC0" w:rsidP="00A05FC0">
      <w:pPr>
        <w:spacing w:after="240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</w:p>
    <w:p w:rsidR="00A05FC0" w:rsidRPr="00A05FC0" w:rsidRDefault="00A05FC0" w:rsidP="00A05FC0">
      <w:pPr>
        <w:spacing w:line="300" w:lineRule="atLeast"/>
        <w:outlineLvl w:val="2"/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  <w:t xml:space="preserve">IV.3. Informācija par to, kādēļ un kur veicami labojumi vai papildinājumi </w:t>
      </w:r>
      <w:r w:rsidRPr="00A05FC0">
        <w:rPr>
          <w:rFonts w:ascii="RobotoSlab-Regular-2" w:hAnsi="RobotoSlab-Regular-2" w:cs="Arial"/>
          <w:i/>
          <w:iCs/>
          <w:color w:val="4C4C4C"/>
          <w:sz w:val="42"/>
          <w:szCs w:val="42"/>
          <w:lang w:val="lv-LV" w:eastAsia="lv-LV" w:bidi="ar-SA"/>
        </w:rPr>
        <w:t>(attiecīgā gadījumā, lai atzīmētu vietu tekstā vai datumus, kas jāizlabo vai jāpapildina, lūdzu, vienmēr norādiet sākotnējā paziņojuma attiecīgo iedaļas punkta un/vai apakšpunkta numuru)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 xml:space="preserve">IV.3.1) 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Grozījums pasūtītāja norādītajā sākotnējā informācijā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Paziņojuma publikācija neatbilst pasūtītāja norādītajai sākotnējai informācijai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Abi iemesli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 xml:space="preserve">IV.3.2) 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Sākotnējā paziņojumā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 xml:space="preserve">Iepirkuma procedūras dokumentos 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 xml:space="preserve">Abos </w:t>
      </w:r>
      <w:r w:rsidRPr="00A05FC0">
        <w:rPr>
          <w:rFonts w:ascii="RobotoSlab-Regular-2" w:hAnsi="RobotoSlab-Regular-2" w:cs="Arial"/>
          <w:i/>
          <w:iCs/>
          <w:color w:val="4C4C4C"/>
          <w:sz w:val="21"/>
          <w:szCs w:val="21"/>
          <w:lang w:val="lv-LV" w:eastAsia="lv-LV" w:bidi="ar-SA"/>
        </w:rPr>
        <w:t>(sīkākai informācijai skatīt saistītos attiecīgos iepirkuma procedūras dokumentus)</w:t>
      </w:r>
    </w:p>
    <w:p w:rsidR="00A05FC0" w:rsidRPr="00A05FC0" w:rsidRDefault="00A05FC0" w:rsidP="00A05FC0">
      <w:pPr>
        <w:outlineLvl w:val="3"/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36"/>
          <w:szCs w:val="36"/>
          <w:lang w:val="lv-LV" w:eastAsia="lv-LV" w:bidi="ar-SA"/>
        </w:rPr>
        <w:t>IV.3.3) Labojumi, kas jāveic sākotnējā paziņojuma tekstā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 xml:space="preserve">Teksta labojuma vieta: </w:t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br/>
        <w:t xml:space="preserve">I daļa 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 xml:space="preserve">Šī teksta vietā: </w:t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br/>
        <w:t xml:space="preserve">I daļa – Kuģu dzinēju remonts 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 xml:space="preserve">Jābūt: </w:t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br/>
        <w:t xml:space="preserve">/ </w:t>
      </w:r>
    </w:p>
    <w:p w:rsidR="00A05FC0" w:rsidRPr="00A05FC0" w:rsidRDefault="00A05FC0" w:rsidP="00A05FC0">
      <w:pPr>
        <w:spacing w:before="100" w:beforeAutospacing="1" w:after="100" w:afterAutospacing="1"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Iepirkuma daļas pārtraukšanas pamatojums (ja piemērojams):</w:t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br/>
        <w:t xml:space="preserve">Pamatojoties uz Publisko iepirkumu likuma 38. panta otro daļu pārtrauc konkursu iepirkuma priekšmeta I daļā, jo ir nepieciešams veikt būtiskas izmaiņas iepirkuma dokumentācijā </w:t>
      </w:r>
    </w:p>
    <w:p w:rsidR="00A05FC0" w:rsidRPr="00A05FC0" w:rsidRDefault="00A05FC0" w:rsidP="00A05FC0">
      <w:pPr>
        <w:spacing w:line="300" w:lineRule="atLeast"/>
        <w:outlineLvl w:val="2"/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  <w:lastRenderedPageBreak/>
        <w:t>IV.4. Cita papildu informācija (ja nepieciešams)</w:t>
      </w:r>
    </w:p>
    <w:p w:rsidR="00A05FC0" w:rsidRPr="00A05FC0" w:rsidRDefault="00A05FC0" w:rsidP="00A05FC0">
      <w:pPr>
        <w:spacing w:line="300" w:lineRule="atLeast"/>
        <w:outlineLvl w:val="2"/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  <w:t>IV.5. Šis paziņojums saskaņā ar Publisko iepirkumu likumu ir nosūtāms publicēšanai Eiropas Savienības Oficiālajā Vēstnesī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Jā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r>
        <w:rPr>
          <w:rFonts w:ascii="RobotoSlab-Regular-2" w:hAnsi="RobotoSlab-Regular-2" w:cs="Arial"/>
          <w:noProof/>
          <w:color w:val="4C4C4C"/>
          <w:sz w:val="21"/>
          <w:szCs w:val="21"/>
          <w:lang w:val="lv-LV" w:eastAsia="lv-LV" w:bidi="ar-SA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t>Nē</w:t>
      </w:r>
    </w:p>
    <w:p w:rsidR="00A05FC0" w:rsidRPr="00A05FC0" w:rsidRDefault="00A05FC0" w:rsidP="00A05FC0">
      <w:pPr>
        <w:spacing w:line="300" w:lineRule="atLeast"/>
        <w:outlineLvl w:val="2"/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</w:pPr>
      <w:r w:rsidRPr="00A05FC0">
        <w:rPr>
          <w:rFonts w:ascii="RobotoSlab-Regular-2" w:hAnsi="RobotoSlab-Regular-2" w:cs="Arial"/>
          <w:color w:val="4C4C4C"/>
          <w:sz w:val="42"/>
          <w:szCs w:val="42"/>
          <w:lang w:val="lv-LV" w:eastAsia="lv-LV" w:bidi="ar-SA"/>
        </w:rPr>
        <w:t>Saistītie paziņojumi</w:t>
      </w:r>
    </w:p>
    <w:p w:rsidR="00A05FC0" w:rsidRPr="00A05FC0" w:rsidRDefault="00A05FC0" w:rsidP="00A05FC0">
      <w:pPr>
        <w:spacing w:line="300" w:lineRule="atLeast"/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</w:pPr>
      <w:hyperlink r:id="rId8" w:history="1">
        <w:r w:rsidRPr="00A05FC0">
          <w:rPr>
            <w:rFonts w:cs="Times New Roman"/>
            <w:color w:val="4C4C4C"/>
            <w:sz w:val="21"/>
            <w:szCs w:val="21"/>
            <w:u w:val="single"/>
            <w:lang w:val="lv-LV" w:eastAsia="lv-LV" w:bidi="ar-SA"/>
          </w:rPr>
          <w:t>Paziņojums par līgumu</w:t>
        </w:r>
      </w:hyperlink>
    </w:p>
    <w:p w:rsidR="0026236D" w:rsidRDefault="00A05FC0" w:rsidP="00A05FC0"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pict/>
      </w:r>
      <w:r w:rsidRPr="00A05FC0">
        <w:rPr>
          <w:rFonts w:ascii="RobotoSlab-Regular-2" w:hAnsi="RobotoSlab-Regular-2" w:cs="Arial"/>
          <w:color w:val="4C4C4C"/>
          <w:sz w:val="21"/>
          <w:szCs w:val="21"/>
          <w:lang w:val="lv-LV" w:eastAsia="lv-LV" w:bidi="ar-SA"/>
        </w:rPr>
        <w:pict/>
      </w:r>
      <w:bookmarkStart w:id="0" w:name="_GoBack"/>
      <w:bookmarkEnd w:id="0"/>
    </w:p>
    <w:sectPr w:rsidR="0026236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C0"/>
    <w:rsid w:val="00042F0B"/>
    <w:rsid w:val="00144F17"/>
    <w:rsid w:val="001549F4"/>
    <w:rsid w:val="001C25DB"/>
    <w:rsid w:val="0026236D"/>
    <w:rsid w:val="002E4E95"/>
    <w:rsid w:val="002F58D7"/>
    <w:rsid w:val="00304507"/>
    <w:rsid w:val="003D378D"/>
    <w:rsid w:val="004C1AC1"/>
    <w:rsid w:val="004D706D"/>
    <w:rsid w:val="005B3C55"/>
    <w:rsid w:val="005F4077"/>
    <w:rsid w:val="00687D50"/>
    <w:rsid w:val="006A24CA"/>
    <w:rsid w:val="006F474A"/>
    <w:rsid w:val="007635F3"/>
    <w:rsid w:val="0076771A"/>
    <w:rsid w:val="00822D50"/>
    <w:rsid w:val="008804EF"/>
    <w:rsid w:val="009239B9"/>
    <w:rsid w:val="00961EAA"/>
    <w:rsid w:val="009A48D6"/>
    <w:rsid w:val="00A05FC0"/>
    <w:rsid w:val="00A442F4"/>
    <w:rsid w:val="00AF3AC3"/>
    <w:rsid w:val="00B16BE0"/>
    <w:rsid w:val="00B175A3"/>
    <w:rsid w:val="00B3086B"/>
    <w:rsid w:val="00C20674"/>
    <w:rsid w:val="00C729FB"/>
    <w:rsid w:val="00C73F60"/>
    <w:rsid w:val="00CC3182"/>
    <w:rsid w:val="00CC530C"/>
    <w:rsid w:val="00D61217"/>
    <w:rsid w:val="00E300A8"/>
    <w:rsid w:val="00EA6F5E"/>
    <w:rsid w:val="00EF2617"/>
    <w:rsid w:val="00F22346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paragraph" w:styleId="Heading1">
    <w:name w:val="heading 1"/>
    <w:basedOn w:val="Normal"/>
    <w:link w:val="Heading1Char"/>
    <w:uiPriority w:val="9"/>
    <w:qFormat/>
    <w:rsid w:val="00A05FC0"/>
    <w:pPr>
      <w:outlineLvl w:val="0"/>
    </w:pPr>
    <w:rPr>
      <w:rFonts w:ascii="RobotoSlab-Regular-2" w:hAnsi="RobotoSlab-Regular-2" w:cs="Arial"/>
      <w:kern w:val="36"/>
      <w:sz w:val="54"/>
      <w:szCs w:val="54"/>
      <w:lang w:val="lv-LV" w:eastAsia="lv-LV" w:bidi="ar-SA"/>
    </w:rPr>
  </w:style>
  <w:style w:type="paragraph" w:styleId="Heading2">
    <w:name w:val="heading 2"/>
    <w:basedOn w:val="Normal"/>
    <w:link w:val="Heading2Char"/>
    <w:uiPriority w:val="9"/>
    <w:qFormat/>
    <w:rsid w:val="00A05FC0"/>
    <w:pPr>
      <w:outlineLvl w:val="1"/>
    </w:pPr>
    <w:rPr>
      <w:rFonts w:ascii="RobotoSlab-Regular-2" w:hAnsi="RobotoSlab-Regular-2" w:cs="Arial"/>
      <w:sz w:val="48"/>
      <w:szCs w:val="48"/>
      <w:lang w:val="lv-LV" w:eastAsia="lv-LV" w:bidi="ar-SA"/>
    </w:rPr>
  </w:style>
  <w:style w:type="paragraph" w:styleId="Heading3">
    <w:name w:val="heading 3"/>
    <w:basedOn w:val="Normal"/>
    <w:link w:val="Heading3Char"/>
    <w:uiPriority w:val="9"/>
    <w:qFormat/>
    <w:rsid w:val="00A05FC0"/>
    <w:pPr>
      <w:outlineLvl w:val="2"/>
    </w:pPr>
    <w:rPr>
      <w:rFonts w:ascii="RobotoSlab-Regular-2" w:hAnsi="RobotoSlab-Regular-2" w:cs="Arial"/>
      <w:sz w:val="42"/>
      <w:szCs w:val="42"/>
      <w:lang w:val="lv-LV" w:eastAsia="lv-LV" w:bidi="ar-SA"/>
    </w:rPr>
  </w:style>
  <w:style w:type="paragraph" w:styleId="Heading4">
    <w:name w:val="heading 4"/>
    <w:basedOn w:val="Normal"/>
    <w:link w:val="Heading4Char"/>
    <w:uiPriority w:val="9"/>
    <w:qFormat/>
    <w:rsid w:val="00A05FC0"/>
    <w:pPr>
      <w:outlineLvl w:val="3"/>
    </w:pPr>
    <w:rPr>
      <w:rFonts w:ascii="RobotoSlab-Regular-2" w:hAnsi="RobotoSlab-Regular-2" w:cs="Arial"/>
      <w:sz w:val="36"/>
      <w:szCs w:val="36"/>
      <w:lang w:val="lv-LV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FC0"/>
    <w:rPr>
      <w:rFonts w:ascii="RobotoSlab-Regular-2" w:hAnsi="RobotoSlab-Regular-2" w:cs="Arial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A05FC0"/>
    <w:rPr>
      <w:rFonts w:ascii="RobotoSlab-Regular-2" w:hAnsi="RobotoSlab-Regular-2" w:cs="Arial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05FC0"/>
    <w:rPr>
      <w:rFonts w:ascii="RobotoSlab-Regular-2" w:hAnsi="RobotoSlab-Regular-2" w:cs="Arial"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rsid w:val="00A05FC0"/>
    <w:rPr>
      <w:rFonts w:ascii="RobotoSlab-Regular-2" w:hAnsi="RobotoSlab-Regular-2" w:cs="Arial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05FC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unhideWhenUsed/>
    <w:rsid w:val="00A05FC0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rsid w:val="00A05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FC0"/>
    <w:rPr>
      <w:rFonts w:ascii="Tahoma" w:hAnsi="Tahoma" w:cs="Tahoma"/>
      <w:sz w:val="16"/>
      <w:szCs w:val="16"/>
      <w:lang w:val="en-GB"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paragraph" w:styleId="Heading1">
    <w:name w:val="heading 1"/>
    <w:basedOn w:val="Normal"/>
    <w:link w:val="Heading1Char"/>
    <w:uiPriority w:val="9"/>
    <w:qFormat/>
    <w:rsid w:val="00A05FC0"/>
    <w:pPr>
      <w:outlineLvl w:val="0"/>
    </w:pPr>
    <w:rPr>
      <w:rFonts w:ascii="RobotoSlab-Regular-2" w:hAnsi="RobotoSlab-Regular-2" w:cs="Arial"/>
      <w:kern w:val="36"/>
      <w:sz w:val="54"/>
      <w:szCs w:val="54"/>
      <w:lang w:val="lv-LV" w:eastAsia="lv-LV" w:bidi="ar-SA"/>
    </w:rPr>
  </w:style>
  <w:style w:type="paragraph" w:styleId="Heading2">
    <w:name w:val="heading 2"/>
    <w:basedOn w:val="Normal"/>
    <w:link w:val="Heading2Char"/>
    <w:uiPriority w:val="9"/>
    <w:qFormat/>
    <w:rsid w:val="00A05FC0"/>
    <w:pPr>
      <w:outlineLvl w:val="1"/>
    </w:pPr>
    <w:rPr>
      <w:rFonts w:ascii="RobotoSlab-Regular-2" w:hAnsi="RobotoSlab-Regular-2" w:cs="Arial"/>
      <w:sz w:val="48"/>
      <w:szCs w:val="48"/>
      <w:lang w:val="lv-LV" w:eastAsia="lv-LV" w:bidi="ar-SA"/>
    </w:rPr>
  </w:style>
  <w:style w:type="paragraph" w:styleId="Heading3">
    <w:name w:val="heading 3"/>
    <w:basedOn w:val="Normal"/>
    <w:link w:val="Heading3Char"/>
    <w:uiPriority w:val="9"/>
    <w:qFormat/>
    <w:rsid w:val="00A05FC0"/>
    <w:pPr>
      <w:outlineLvl w:val="2"/>
    </w:pPr>
    <w:rPr>
      <w:rFonts w:ascii="RobotoSlab-Regular-2" w:hAnsi="RobotoSlab-Regular-2" w:cs="Arial"/>
      <w:sz w:val="42"/>
      <w:szCs w:val="42"/>
      <w:lang w:val="lv-LV" w:eastAsia="lv-LV" w:bidi="ar-SA"/>
    </w:rPr>
  </w:style>
  <w:style w:type="paragraph" w:styleId="Heading4">
    <w:name w:val="heading 4"/>
    <w:basedOn w:val="Normal"/>
    <w:link w:val="Heading4Char"/>
    <w:uiPriority w:val="9"/>
    <w:qFormat/>
    <w:rsid w:val="00A05FC0"/>
    <w:pPr>
      <w:outlineLvl w:val="3"/>
    </w:pPr>
    <w:rPr>
      <w:rFonts w:ascii="RobotoSlab-Regular-2" w:hAnsi="RobotoSlab-Regular-2" w:cs="Arial"/>
      <w:sz w:val="36"/>
      <w:szCs w:val="36"/>
      <w:lang w:val="lv-LV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FC0"/>
    <w:rPr>
      <w:rFonts w:ascii="RobotoSlab-Regular-2" w:hAnsi="RobotoSlab-Regular-2" w:cs="Arial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A05FC0"/>
    <w:rPr>
      <w:rFonts w:ascii="RobotoSlab-Regular-2" w:hAnsi="RobotoSlab-Regular-2" w:cs="Arial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05FC0"/>
    <w:rPr>
      <w:rFonts w:ascii="RobotoSlab-Regular-2" w:hAnsi="RobotoSlab-Regular-2" w:cs="Arial"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rsid w:val="00A05FC0"/>
    <w:rPr>
      <w:rFonts w:ascii="RobotoSlab-Regular-2" w:hAnsi="RobotoSlab-Regular-2" w:cs="Arial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05FC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unhideWhenUsed/>
    <w:rsid w:val="00A05FC0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rsid w:val="00A05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FC0"/>
    <w:rPr>
      <w:rFonts w:ascii="Tahoma" w:hAnsi="Tahoma" w:cs="Tahoma"/>
      <w:sz w:val="16"/>
      <w:szCs w:val="16"/>
      <w:lang w:val="en-GB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4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9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8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0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4660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vs.iub.gov.lv/show/4761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455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Helēna Brinkmane</cp:lastModifiedBy>
  <cp:revision>1</cp:revision>
  <dcterms:created xsi:type="dcterms:W3CDTF">2016-12-09T12:38:00Z</dcterms:created>
  <dcterms:modified xsi:type="dcterms:W3CDTF">2016-12-09T12:39:00Z</dcterms:modified>
</cp:coreProperties>
</file>