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65" w:rsidRPr="007E714C" w:rsidRDefault="004D3F65" w:rsidP="007E714C">
      <w:pPr>
        <w:tabs>
          <w:tab w:val="left" w:pos="8280"/>
        </w:tabs>
        <w:ind w:left="540"/>
        <w:jc w:val="center"/>
        <w:rPr>
          <w:rFonts w:ascii="Times New Roman" w:hAnsi="Times New Roman"/>
          <w:b/>
          <w:bCs/>
          <w:szCs w:val="24"/>
        </w:rPr>
      </w:pPr>
      <w:bookmarkStart w:id="0" w:name="_GoBack"/>
      <w:bookmarkEnd w:id="0"/>
      <w:r w:rsidRPr="007E714C">
        <w:rPr>
          <w:rFonts w:ascii="Times New Roman" w:hAnsi="Times New Roman"/>
          <w:b/>
          <w:bCs/>
          <w:szCs w:val="24"/>
        </w:rPr>
        <w:t>I</w:t>
      </w:r>
      <w:r w:rsidR="00E57289" w:rsidRPr="007E714C">
        <w:rPr>
          <w:rFonts w:ascii="Times New Roman" w:hAnsi="Times New Roman"/>
          <w:b/>
          <w:bCs/>
          <w:szCs w:val="24"/>
        </w:rPr>
        <w:t>epirkuma komisijas sēdē sniegtā</w:t>
      </w:r>
      <w:r w:rsidRPr="007E714C">
        <w:rPr>
          <w:rFonts w:ascii="Times New Roman" w:hAnsi="Times New Roman"/>
          <w:b/>
          <w:bCs/>
          <w:szCs w:val="24"/>
        </w:rPr>
        <w:t xml:space="preserve"> atbil</w:t>
      </w:r>
      <w:r w:rsidR="00E57289" w:rsidRPr="007E714C">
        <w:rPr>
          <w:rFonts w:ascii="Times New Roman" w:hAnsi="Times New Roman"/>
          <w:b/>
          <w:bCs/>
          <w:szCs w:val="24"/>
        </w:rPr>
        <w:t>de uz ieinteresēt</w:t>
      </w:r>
      <w:r w:rsidR="00B06BFD" w:rsidRPr="007E714C">
        <w:rPr>
          <w:rFonts w:ascii="Times New Roman" w:hAnsi="Times New Roman"/>
          <w:b/>
          <w:bCs/>
          <w:szCs w:val="24"/>
        </w:rPr>
        <w:t>ā</w:t>
      </w:r>
      <w:r w:rsidR="00E57289" w:rsidRPr="007E714C">
        <w:rPr>
          <w:rFonts w:ascii="Times New Roman" w:hAnsi="Times New Roman"/>
          <w:b/>
          <w:bCs/>
          <w:szCs w:val="24"/>
        </w:rPr>
        <w:t xml:space="preserve"> piegādātāj</w:t>
      </w:r>
      <w:r w:rsidR="00B06BFD" w:rsidRPr="007E714C">
        <w:rPr>
          <w:rFonts w:ascii="Times New Roman" w:hAnsi="Times New Roman"/>
          <w:b/>
          <w:bCs/>
          <w:szCs w:val="24"/>
        </w:rPr>
        <w:t>a</w:t>
      </w:r>
      <w:r w:rsidR="00E57289" w:rsidRPr="007E714C">
        <w:rPr>
          <w:rFonts w:ascii="Times New Roman" w:hAnsi="Times New Roman"/>
          <w:b/>
          <w:bCs/>
          <w:szCs w:val="24"/>
        </w:rPr>
        <w:t xml:space="preserve"> uzdot</w:t>
      </w:r>
      <w:r w:rsidR="00813FC3" w:rsidRPr="007E714C">
        <w:rPr>
          <w:rFonts w:ascii="Times New Roman" w:hAnsi="Times New Roman"/>
          <w:b/>
          <w:bCs/>
          <w:szCs w:val="24"/>
        </w:rPr>
        <w:t>o jautājumu</w:t>
      </w:r>
      <w:r w:rsidRPr="007E714C">
        <w:rPr>
          <w:rFonts w:ascii="Times New Roman" w:hAnsi="Times New Roman"/>
          <w:b/>
          <w:bCs/>
          <w:szCs w:val="24"/>
        </w:rPr>
        <w:t xml:space="preserve"> par atklāt</w:t>
      </w:r>
      <w:r w:rsidR="0096768D" w:rsidRPr="007E714C">
        <w:rPr>
          <w:rFonts w:ascii="Times New Roman" w:hAnsi="Times New Roman"/>
          <w:b/>
          <w:bCs/>
          <w:szCs w:val="24"/>
        </w:rPr>
        <w:t>u</w:t>
      </w:r>
      <w:r w:rsidRPr="007E714C">
        <w:rPr>
          <w:rFonts w:ascii="Times New Roman" w:hAnsi="Times New Roman"/>
          <w:b/>
          <w:bCs/>
          <w:szCs w:val="24"/>
        </w:rPr>
        <w:t xml:space="preserve"> konkurs</w:t>
      </w:r>
      <w:r w:rsidR="00A6062F" w:rsidRPr="007E714C">
        <w:rPr>
          <w:rFonts w:ascii="Times New Roman" w:hAnsi="Times New Roman"/>
          <w:b/>
          <w:bCs/>
          <w:szCs w:val="24"/>
        </w:rPr>
        <w:t>u</w:t>
      </w:r>
      <w:r w:rsidRPr="007E714C">
        <w:rPr>
          <w:rFonts w:ascii="Times New Roman" w:hAnsi="Times New Roman"/>
          <w:b/>
          <w:bCs/>
          <w:szCs w:val="24"/>
        </w:rPr>
        <w:t xml:space="preserve"> </w:t>
      </w:r>
    </w:p>
    <w:p w:rsidR="00F52FF2" w:rsidRPr="007E714C" w:rsidRDefault="00813FC3" w:rsidP="007E714C">
      <w:pPr>
        <w:tabs>
          <w:tab w:val="left" w:pos="8280"/>
        </w:tabs>
        <w:ind w:left="540"/>
        <w:jc w:val="center"/>
        <w:rPr>
          <w:rFonts w:ascii="Times New Roman" w:hAnsi="Times New Roman" w:cstheme="minorBidi"/>
          <w:b/>
          <w:bCs/>
          <w:i/>
          <w:iCs/>
          <w:szCs w:val="24"/>
        </w:rPr>
      </w:pPr>
      <w:r w:rsidRPr="007E714C">
        <w:rPr>
          <w:rFonts w:ascii="Times New Roman" w:hAnsi="Times New Roman" w:cstheme="minorBidi"/>
          <w:b/>
          <w:bCs/>
          <w:i/>
          <w:iCs/>
          <w:szCs w:val="24"/>
        </w:rPr>
        <w:t>“Dabasgāzes iegāde (t.sk. sistēmas pakalpojumi un papildpakalpojumi)”</w:t>
      </w:r>
    </w:p>
    <w:p w:rsidR="00D72AE3" w:rsidRPr="007E714C" w:rsidRDefault="00FF4B0C" w:rsidP="007E714C">
      <w:pPr>
        <w:tabs>
          <w:tab w:val="left" w:pos="8280"/>
        </w:tabs>
        <w:ind w:left="540"/>
        <w:jc w:val="center"/>
        <w:rPr>
          <w:rFonts w:ascii="Times New Roman" w:hAnsi="Times New Roman"/>
          <w:b/>
          <w:bCs/>
          <w:szCs w:val="24"/>
        </w:rPr>
      </w:pPr>
      <w:r w:rsidRPr="007E714C">
        <w:rPr>
          <w:rFonts w:ascii="Times New Roman" w:hAnsi="Times New Roman"/>
          <w:b/>
          <w:bCs/>
          <w:szCs w:val="24"/>
        </w:rPr>
        <w:t>identifikācijas Nr. VAMOIC 201</w:t>
      </w:r>
      <w:r w:rsidR="00ED3607" w:rsidRPr="007E714C">
        <w:rPr>
          <w:rFonts w:ascii="Times New Roman" w:hAnsi="Times New Roman"/>
          <w:b/>
          <w:bCs/>
          <w:szCs w:val="24"/>
        </w:rPr>
        <w:t>8</w:t>
      </w:r>
      <w:r w:rsidR="00E57289" w:rsidRPr="007E714C">
        <w:rPr>
          <w:rFonts w:ascii="Times New Roman" w:hAnsi="Times New Roman"/>
          <w:b/>
          <w:bCs/>
          <w:szCs w:val="24"/>
        </w:rPr>
        <w:t>/</w:t>
      </w:r>
      <w:r w:rsidR="00813FC3" w:rsidRPr="007E714C">
        <w:rPr>
          <w:rFonts w:ascii="Times New Roman" w:hAnsi="Times New Roman"/>
          <w:b/>
          <w:bCs/>
          <w:szCs w:val="24"/>
        </w:rPr>
        <w:t>230</w:t>
      </w:r>
      <w:r w:rsidR="00ED3607" w:rsidRPr="007E714C">
        <w:rPr>
          <w:rFonts w:ascii="Times New Roman" w:hAnsi="Times New Roman"/>
          <w:b/>
          <w:bCs/>
          <w:szCs w:val="24"/>
        </w:rPr>
        <w:t xml:space="preserve"> (turpmāk – atklāts konkurss)</w:t>
      </w:r>
    </w:p>
    <w:p w:rsidR="00D72AE3" w:rsidRPr="007E714C" w:rsidRDefault="00D72AE3" w:rsidP="007E714C">
      <w:pPr>
        <w:ind w:firstLine="720"/>
        <w:jc w:val="both"/>
        <w:rPr>
          <w:rFonts w:ascii="Times New Roman" w:hAnsi="Times New Roman"/>
          <w:szCs w:val="24"/>
        </w:rPr>
      </w:pPr>
    </w:p>
    <w:p w:rsidR="00B06BFD" w:rsidRPr="007E714C" w:rsidRDefault="00B06BFD" w:rsidP="007E714C">
      <w:pPr>
        <w:rPr>
          <w:rFonts w:ascii="Times New Roman" w:hAnsi="Times New Roman"/>
          <w:b/>
          <w:szCs w:val="24"/>
        </w:rPr>
      </w:pPr>
    </w:p>
    <w:p w:rsidR="00B0631C" w:rsidRPr="007E714C" w:rsidRDefault="00B0631C" w:rsidP="007E714C">
      <w:pPr>
        <w:pStyle w:val="ListParagraph"/>
        <w:numPr>
          <w:ilvl w:val="0"/>
          <w:numId w:val="23"/>
        </w:numPr>
        <w:rPr>
          <w:rFonts w:ascii="Times New Roman" w:hAnsi="Times New Roman"/>
          <w:b/>
          <w:sz w:val="24"/>
          <w:szCs w:val="24"/>
        </w:rPr>
      </w:pPr>
      <w:r w:rsidRPr="007E714C">
        <w:rPr>
          <w:rFonts w:ascii="Times New Roman" w:hAnsi="Times New Roman"/>
          <w:b/>
          <w:sz w:val="24"/>
          <w:szCs w:val="24"/>
        </w:rPr>
        <w:t>Jautājums:</w:t>
      </w:r>
    </w:p>
    <w:p w:rsidR="00D97936" w:rsidRPr="007E714C" w:rsidRDefault="00D97936" w:rsidP="007E714C">
      <w:pPr>
        <w:jc w:val="both"/>
        <w:rPr>
          <w:rFonts w:ascii="Times New Roman" w:hAnsi="Times New Roman"/>
          <w:szCs w:val="24"/>
        </w:rPr>
      </w:pPr>
    </w:p>
    <w:p w:rsidR="00866235" w:rsidRPr="007E714C" w:rsidRDefault="00866235" w:rsidP="007E714C">
      <w:pPr>
        <w:ind w:firstLine="720"/>
        <w:jc w:val="both"/>
        <w:rPr>
          <w:rFonts w:ascii="Times New Roman" w:hAnsi="Times New Roman"/>
          <w:szCs w:val="24"/>
        </w:rPr>
      </w:pPr>
      <w:r w:rsidRPr="007E714C">
        <w:rPr>
          <w:rFonts w:ascii="Times New Roman" w:hAnsi="Times New Roman"/>
          <w:szCs w:val="24"/>
        </w:rPr>
        <w:t xml:space="preserve">[1] Ņemot vērā dabasgāzes cenas veidojošās komponentes un specifiku dabasgāzes tirgū, kad atsevišķas ar dabasgāzes piegādi saistītas komponentes tiek regulētas valsts līmenī ar Sabiedrisko pakalpojumu regulēšanas komisijas apstiprinātiem tarifiem un var mainīties ārpus tirgotāja kontroles un tikai dažas ir atkarīgas no tirgotāja, Pretendents lūdz Pasūtītāju precizēt dabasgāzes cenu veidojošās komponentes, norādot, ka </w:t>
      </w:r>
      <w:r w:rsidRPr="007E714C">
        <w:rPr>
          <w:rFonts w:ascii="Times New Roman" w:hAnsi="Times New Roman"/>
          <w:szCs w:val="24"/>
          <w:u w:val="single"/>
        </w:rPr>
        <w:t xml:space="preserve">dabasgāzes cenā ir jāiekļauj dabasgāzes uzglabāšanas pakalpojums un  maksa par pārvades sistēmas pakalpojumu </w:t>
      </w:r>
      <w:r w:rsidRPr="007E714C">
        <w:rPr>
          <w:rFonts w:ascii="Times New Roman" w:eastAsia="Calibri" w:hAnsi="Times New Roman"/>
          <w:szCs w:val="24"/>
          <w:u w:val="single"/>
        </w:rPr>
        <w:t xml:space="preserve">– </w:t>
      </w:r>
      <w:r w:rsidRPr="007E714C">
        <w:rPr>
          <w:rFonts w:ascii="Times New Roman" w:hAnsi="Times New Roman"/>
          <w:szCs w:val="24"/>
          <w:u w:val="single"/>
        </w:rPr>
        <w:t>pārvades jaudu</w:t>
      </w:r>
      <w:r w:rsidRPr="007E714C">
        <w:rPr>
          <w:rFonts w:ascii="Times New Roman" w:hAnsi="Times New Roman"/>
          <w:szCs w:val="24"/>
        </w:rPr>
        <w:t>. Dabasgāzes uzglabāšanas pakalpojuma un pārvades sistēmas pakalpojuma </w:t>
      </w:r>
      <w:r w:rsidRPr="007E714C">
        <w:rPr>
          <w:rFonts w:ascii="Times New Roman" w:eastAsia="Calibri" w:hAnsi="Times New Roman"/>
          <w:szCs w:val="24"/>
        </w:rPr>
        <w:t>–</w:t>
      </w:r>
      <w:r w:rsidRPr="007E714C">
        <w:rPr>
          <w:rFonts w:ascii="Times New Roman" w:hAnsi="Times New Roman"/>
          <w:szCs w:val="24"/>
        </w:rPr>
        <w:t xml:space="preserve"> pārvades jaudas izmaksas ir atkarīgas no pretendentu stratēģijas attiecībā uz dabasgāzes uzglabāšanu un attiecīgi katram pretendentam var mainīties. Tādēļ, </w:t>
      </w:r>
      <w:r w:rsidRPr="007E714C">
        <w:rPr>
          <w:rFonts w:ascii="Times New Roman" w:hAnsi="Times New Roman"/>
          <w:szCs w:val="24"/>
          <w:u w:val="single"/>
        </w:rPr>
        <w:t>lai piedāvājumi būtu salīdzināmi un objektīvi novērtējami</w:t>
      </w:r>
      <w:r w:rsidRPr="007E714C">
        <w:rPr>
          <w:rFonts w:ascii="Times New Roman" w:hAnsi="Times New Roman"/>
          <w:szCs w:val="24"/>
        </w:rPr>
        <w:t xml:space="preserve">, dabasgāzes cenā pretendenti neiekļauj tikai tādas komponentes, kuras visiem pretendentiem ir vienādas. </w:t>
      </w:r>
      <w:r w:rsidRPr="007E714C">
        <w:rPr>
          <w:rFonts w:ascii="Times New Roman" w:hAnsi="Times New Roman"/>
          <w:b/>
          <w:szCs w:val="24"/>
        </w:rPr>
        <w:t>Tādējādi lūdzam:</w:t>
      </w:r>
    </w:p>
    <w:p w:rsidR="00866235" w:rsidRPr="007E714C" w:rsidRDefault="00866235" w:rsidP="0007200C">
      <w:pPr>
        <w:ind w:firstLine="720"/>
        <w:jc w:val="both"/>
        <w:rPr>
          <w:rFonts w:ascii="Times New Roman" w:hAnsi="Times New Roman"/>
          <w:szCs w:val="24"/>
          <w:u w:val="single"/>
        </w:rPr>
      </w:pPr>
      <w:r w:rsidRPr="0007200C">
        <w:rPr>
          <w:rFonts w:ascii="Times New Roman" w:hAnsi="Times New Roman"/>
          <w:szCs w:val="24"/>
        </w:rPr>
        <w:t xml:space="preserve">1.1. Precizēt Nolikuma 8.1.2.punktu paredzot, ka Piedāvājuma cenā </w:t>
      </w:r>
      <w:r w:rsidRPr="0007200C">
        <w:rPr>
          <w:rFonts w:ascii="Times New Roman" w:hAnsi="Times New Roman"/>
          <w:szCs w:val="24"/>
          <w:u w:val="single"/>
        </w:rPr>
        <w:t xml:space="preserve">iekļauj līguma izpildei nepieciešamā balansēšanas pakalpojuma izmaksas, dabasgāzes uzglabāšanas izmaksas un maksu par pārvades sistēmas pakalpojumu </w:t>
      </w:r>
      <w:r w:rsidRPr="0007200C">
        <w:rPr>
          <w:rFonts w:ascii="Times New Roman" w:eastAsia="Calibri" w:hAnsi="Times New Roman"/>
          <w:szCs w:val="24"/>
          <w:u w:val="single"/>
        </w:rPr>
        <w:t xml:space="preserve">– </w:t>
      </w:r>
      <w:r w:rsidRPr="0007200C">
        <w:rPr>
          <w:rFonts w:ascii="Times New Roman" w:hAnsi="Times New Roman"/>
          <w:szCs w:val="24"/>
          <w:u w:val="single"/>
        </w:rPr>
        <w:t xml:space="preserve">pārvades jaudu, bet neiekļauj izmaksas par sadales sistēmas pakalpojumiem, maksu par pārvades sistēmas pakalpojumu </w:t>
      </w:r>
      <w:r w:rsidRPr="0007200C">
        <w:rPr>
          <w:rFonts w:ascii="Times New Roman" w:eastAsia="Calibri" w:hAnsi="Times New Roman"/>
          <w:szCs w:val="24"/>
          <w:u w:val="single"/>
        </w:rPr>
        <w:t>–</w:t>
      </w:r>
      <w:r w:rsidRPr="0007200C">
        <w:rPr>
          <w:rFonts w:ascii="Times New Roman" w:hAnsi="Times New Roman"/>
          <w:szCs w:val="24"/>
          <w:u w:val="single"/>
        </w:rPr>
        <w:t xml:space="preserve"> izejas punktu Latvijas lietotāju apgādei, kā arī akcīzes nodokli.</w:t>
      </w:r>
    </w:p>
    <w:p w:rsidR="00866235" w:rsidRPr="007E714C" w:rsidRDefault="00866235" w:rsidP="0007200C">
      <w:pPr>
        <w:ind w:firstLine="720"/>
        <w:jc w:val="both"/>
        <w:rPr>
          <w:rFonts w:ascii="Times New Roman" w:hAnsi="Times New Roman"/>
          <w:szCs w:val="24"/>
        </w:rPr>
      </w:pPr>
      <w:r w:rsidRPr="0007200C">
        <w:rPr>
          <w:rFonts w:ascii="Times New Roman" w:hAnsi="Times New Roman"/>
          <w:szCs w:val="24"/>
        </w:rPr>
        <w:t xml:space="preserve">1.2. Precizēt Nolikuma 7.pielikuma “Tehniskais un finanšu piedāvājums” Iepirkuma priekšmeta I daļai un Iepirkuma priekšmeta II daļai norādīto attiecībā uz Dabasgāzes cenu un paredzēt, ka dabasgāzes cenā jāiekļauj Līguma izpildei nepieciešamā balansēšanas pakalpojuma izmaksas, dabasgāzes uzglabāšanas izmaksas un maksa par pārvades sistēmas pakalpojumu </w:t>
      </w:r>
      <w:r w:rsidRPr="0007200C">
        <w:rPr>
          <w:rFonts w:ascii="Times New Roman" w:eastAsia="Calibri" w:hAnsi="Times New Roman"/>
          <w:szCs w:val="24"/>
        </w:rPr>
        <w:t>–</w:t>
      </w:r>
      <w:r w:rsidRPr="0007200C">
        <w:rPr>
          <w:rFonts w:ascii="Times New Roman" w:hAnsi="Times New Roman"/>
          <w:szCs w:val="24"/>
        </w:rPr>
        <w:t xml:space="preserve"> pārvades jaudu, bet nav jāiekļauj sadales sistēmas pakalpojumu izmaksas, maksa par pārvades sistēmas pakalpojumu </w:t>
      </w:r>
      <w:r w:rsidRPr="0007200C">
        <w:rPr>
          <w:rFonts w:ascii="Times New Roman" w:eastAsia="Calibri" w:hAnsi="Times New Roman"/>
          <w:szCs w:val="24"/>
        </w:rPr>
        <w:t>–</w:t>
      </w:r>
      <w:r w:rsidRPr="0007200C">
        <w:rPr>
          <w:rFonts w:ascii="Times New Roman" w:hAnsi="Times New Roman"/>
          <w:szCs w:val="24"/>
        </w:rPr>
        <w:t xml:space="preserve"> izejas punktu Latvijas lietotāju apgādei un akcīzes nodoklis.</w:t>
      </w:r>
    </w:p>
    <w:p w:rsidR="00866235" w:rsidRPr="007E714C" w:rsidRDefault="00866235" w:rsidP="00282214">
      <w:pPr>
        <w:ind w:firstLine="720"/>
        <w:jc w:val="both"/>
        <w:rPr>
          <w:rFonts w:ascii="Times New Roman" w:hAnsi="Times New Roman"/>
          <w:i/>
          <w:szCs w:val="24"/>
        </w:rPr>
      </w:pPr>
      <w:r w:rsidRPr="007E714C">
        <w:rPr>
          <w:rFonts w:ascii="Times New Roman" w:hAnsi="Times New Roman"/>
          <w:szCs w:val="24"/>
        </w:rPr>
        <w:t xml:space="preserve">1.3. </w:t>
      </w:r>
      <w:r w:rsidRPr="00282214">
        <w:rPr>
          <w:rFonts w:ascii="Times New Roman" w:hAnsi="Times New Roman"/>
          <w:szCs w:val="24"/>
        </w:rPr>
        <w:t>Precizēt Vispārīgās Vienošanās (I daļa) un Vispārīgās Vienošanās (II daļa) 3.4.punktu, paredzot, ka “</w:t>
      </w:r>
      <w:r w:rsidRPr="00282214">
        <w:rPr>
          <w:rFonts w:ascii="Times New Roman" w:hAnsi="Times New Roman"/>
          <w:i/>
          <w:szCs w:val="24"/>
        </w:rPr>
        <w:t>Tirgotāja Preces vienības cenā iekļautas Vienošanās izpildei nepieciešamā balansēšanas pakalpojuma izmaksas, dabasgāzes uzglabāšanas izmaksas un maksa par pārvades sistēmas pakalpojumu - pārvades jaudu”</w:t>
      </w:r>
      <w:r w:rsidRPr="00282214">
        <w:rPr>
          <w:rFonts w:ascii="Times New Roman" w:hAnsi="Times New Roman"/>
          <w:szCs w:val="24"/>
        </w:rPr>
        <w:t xml:space="preserve">, 3.5.punktu paredzot, ka </w:t>
      </w:r>
      <w:r w:rsidRPr="00282214">
        <w:rPr>
          <w:rFonts w:ascii="Times New Roman" w:hAnsi="Times New Roman"/>
          <w:i/>
          <w:szCs w:val="24"/>
        </w:rPr>
        <w:t>“Tirgotāja Preces vienības cenā nav iekļauts akcīzes nodoklis, pievienotās vērtības nodoklis, izmaksas</w:t>
      </w:r>
      <w:r w:rsidRPr="00282214">
        <w:rPr>
          <w:rFonts w:ascii="Times New Roman" w:hAnsi="Times New Roman"/>
          <w:szCs w:val="24"/>
        </w:rPr>
        <w:t xml:space="preserve"> </w:t>
      </w:r>
      <w:r w:rsidRPr="00282214">
        <w:rPr>
          <w:rFonts w:ascii="Times New Roman" w:hAnsi="Times New Roman"/>
          <w:i/>
          <w:szCs w:val="24"/>
        </w:rPr>
        <w:t xml:space="preserve">par sadales sistēmas pakalpojumiem un maksa par pārvades sistēmas pakalpojumu </w:t>
      </w:r>
      <w:r w:rsidRPr="00282214">
        <w:rPr>
          <w:rFonts w:ascii="Times New Roman" w:eastAsia="Calibri" w:hAnsi="Times New Roman"/>
          <w:i/>
          <w:szCs w:val="24"/>
        </w:rPr>
        <w:t>–</w:t>
      </w:r>
      <w:r w:rsidRPr="00282214">
        <w:rPr>
          <w:rFonts w:ascii="Times New Roman" w:hAnsi="Times New Roman"/>
          <w:i/>
          <w:szCs w:val="24"/>
        </w:rPr>
        <w:t xml:space="preserve"> izejas punktu Latvijas lietotāju apgādei</w:t>
      </w:r>
      <w:r w:rsidRPr="007E714C">
        <w:rPr>
          <w:rFonts w:ascii="Times New Roman" w:hAnsi="Times New Roman"/>
          <w:i/>
          <w:szCs w:val="24"/>
        </w:rPr>
        <w:t xml:space="preserve">” </w:t>
      </w:r>
      <w:r w:rsidRPr="007E714C">
        <w:rPr>
          <w:rFonts w:ascii="Times New Roman" w:hAnsi="Times New Roman"/>
          <w:szCs w:val="24"/>
        </w:rPr>
        <w:t xml:space="preserve">un </w:t>
      </w:r>
      <w:r w:rsidRPr="003D2AFF">
        <w:rPr>
          <w:rFonts w:ascii="Times New Roman" w:hAnsi="Times New Roman"/>
          <w:szCs w:val="24"/>
        </w:rPr>
        <w:t xml:space="preserve">3.6.punktu, paredzot, ka </w:t>
      </w:r>
      <w:r w:rsidRPr="003D2AFF">
        <w:rPr>
          <w:rFonts w:ascii="Times New Roman" w:hAnsi="Times New Roman"/>
          <w:i/>
          <w:szCs w:val="24"/>
        </w:rPr>
        <w:t xml:space="preserve">“Papildus Lietotājs samaksā Tirgotājam akcīzes nodokli par dabasgāzi, pievienotās vērtības nodokli, kā arī maksu par saņemtajiem sadales sistēmas pakalpojumiem un maksu par pārvades sistēmas pakalpojumu </w:t>
      </w:r>
      <w:r w:rsidRPr="003D2AFF">
        <w:rPr>
          <w:rFonts w:ascii="Times New Roman" w:eastAsia="Calibri" w:hAnsi="Times New Roman"/>
          <w:i/>
          <w:szCs w:val="24"/>
        </w:rPr>
        <w:t>–</w:t>
      </w:r>
      <w:r w:rsidRPr="003D2AFF">
        <w:rPr>
          <w:rFonts w:ascii="Times New Roman" w:hAnsi="Times New Roman"/>
          <w:i/>
          <w:szCs w:val="24"/>
        </w:rPr>
        <w:t xml:space="preserve"> izejas punktu Latvijas lietotāju apgādei.”.</w:t>
      </w:r>
    </w:p>
    <w:p w:rsidR="00866235" w:rsidRPr="007E714C" w:rsidRDefault="00866235" w:rsidP="00282214">
      <w:pPr>
        <w:ind w:firstLine="720"/>
        <w:jc w:val="both"/>
        <w:rPr>
          <w:rFonts w:ascii="Times New Roman" w:hAnsi="Times New Roman"/>
          <w:szCs w:val="24"/>
        </w:rPr>
      </w:pPr>
      <w:r w:rsidRPr="007E714C">
        <w:rPr>
          <w:rFonts w:ascii="Times New Roman" w:hAnsi="Times New Roman"/>
          <w:szCs w:val="24"/>
        </w:rPr>
        <w:t xml:space="preserve">1.4. Labot Vispārīgās Vienošanās (I daļa) un Vispārīgās Vienošanās (II daļa) pielikumā pievienoto Pieteikumu dalībai cenu aptaujā, paredzot, ka dabasgāzes cenā jāiekļauj Līguma izpildei nepieciešamā balansēšanas pakalpojuma izmaksas, dabasgāzes uzglabāšanas izmaksas un maksa par pārvades sistēmas pakalpojumu </w:t>
      </w:r>
      <w:r w:rsidRPr="007E714C">
        <w:rPr>
          <w:rFonts w:ascii="Times New Roman" w:eastAsia="Calibri" w:hAnsi="Times New Roman"/>
          <w:szCs w:val="24"/>
        </w:rPr>
        <w:t>–</w:t>
      </w:r>
      <w:r w:rsidRPr="007E714C">
        <w:rPr>
          <w:rFonts w:ascii="Times New Roman" w:hAnsi="Times New Roman"/>
          <w:szCs w:val="24"/>
        </w:rPr>
        <w:t xml:space="preserve"> pārvades jaudu, bet nav jāiekļauj sadales sistēmas pakalpojumu izmaksas, maksa par pārvades sistēmas pakalpojumu </w:t>
      </w:r>
      <w:r w:rsidRPr="007E714C">
        <w:rPr>
          <w:rFonts w:ascii="Times New Roman" w:eastAsia="Calibri" w:hAnsi="Times New Roman"/>
          <w:szCs w:val="24"/>
        </w:rPr>
        <w:t>–</w:t>
      </w:r>
      <w:r w:rsidRPr="007E714C">
        <w:rPr>
          <w:rFonts w:ascii="Times New Roman" w:hAnsi="Times New Roman"/>
          <w:szCs w:val="24"/>
        </w:rPr>
        <w:t xml:space="preserve"> izejas punktu Latvijas lietotāju apgādei un akcīzes nodoklis.</w:t>
      </w:r>
    </w:p>
    <w:p w:rsidR="00D97936" w:rsidRPr="007E714C" w:rsidRDefault="00D97936" w:rsidP="00282214">
      <w:pPr>
        <w:jc w:val="both"/>
        <w:rPr>
          <w:rFonts w:ascii="Times New Roman" w:hAnsi="Times New Roman"/>
          <w:b/>
          <w:szCs w:val="24"/>
        </w:rPr>
      </w:pPr>
    </w:p>
    <w:p w:rsidR="00EB4DBD" w:rsidRPr="007E714C" w:rsidRDefault="00B0631C" w:rsidP="00282214">
      <w:pPr>
        <w:pStyle w:val="ListParagraph"/>
        <w:numPr>
          <w:ilvl w:val="0"/>
          <w:numId w:val="24"/>
        </w:numPr>
        <w:tabs>
          <w:tab w:val="left" w:pos="426"/>
        </w:tabs>
        <w:jc w:val="both"/>
        <w:rPr>
          <w:rFonts w:ascii="Times New Roman" w:hAnsi="Times New Roman"/>
          <w:b/>
          <w:sz w:val="24"/>
          <w:szCs w:val="24"/>
        </w:rPr>
      </w:pPr>
      <w:r w:rsidRPr="007E714C">
        <w:rPr>
          <w:rFonts w:ascii="Times New Roman" w:hAnsi="Times New Roman"/>
          <w:b/>
          <w:sz w:val="24"/>
          <w:szCs w:val="24"/>
        </w:rPr>
        <w:t>Atbilde:</w:t>
      </w:r>
    </w:p>
    <w:p w:rsidR="000747DD" w:rsidRPr="007E714C" w:rsidRDefault="000747DD" w:rsidP="007E714C">
      <w:pPr>
        <w:jc w:val="both"/>
        <w:rPr>
          <w:rFonts w:ascii="Times New Roman" w:hAnsi="Times New Roman"/>
          <w:szCs w:val="24"/>
        </w:rPr>
      </w:pPr>
    </w:p>
    <w:p w:rsidR="001F635B" w:rsidRPr="007E714C" w:rsidRDefault="004B6C28" w:rsidP="007E714C">
      <w:pPr>
        <w:jc w:val="both"/>
        <w:rPr>
          <w:rFonts w:ascii="Times New Roman" w:hAnsi="Times New Roman"/>
          <w:szCs w:val="24"/>
        </w:rPr>
      </w:pPr>
      <w:r w:rsidRPr="007E714C">
        <w:rPr>
          <w:rFonts w:ascii="Times New Roman" w:hAnsi="Times New Roman"/>
          <w:szCs w:val="24"/>
        </w:rPr>
        <w:t>Iepirkumu komisija nolemj grozīt nolikuma 8.1.2.punktu</w:t>
      </w:r>
      <w:r w:rsidR="001F635B" w:rsidRPr="007E714C">
        <w:rPr>
          <w:rFonts w:ascii="Times New Roman" w:hAnsi="Times New Roman"/>
          <w:szCs w:val="24"/>
        </w:rPr>
        <w:t>, nolikuma pielikuma Nr.7 “Iepirkuma priekšmeta I daļa, Dabasgāzes cena”</w:t>
      </w:r>
      <w:r w:rsidRPr="007E714C">
        <w:rPr>
          <w:rFonts w:ascii="Times New Roman" w:hAnsi="Times New Roman"/>
          <w:szCs w:val="24"/>
        </w:rPr>
        <w:t xml:space="preserve"> un </w:t>
      </w:r>
      <w:r w:rsidR="001F635B" w:rsidRPr="007E714C">
        <w:rPr>
          <w:rFonts w:ascii="Times New Roman" w:hAnsi="Times New Roman"/>
          <w:szCs w:val="24"/>
        </w:rPr>
        <w:t>“Iepirkuma priekšmeta II daļa, Dabasgāzes cena”, Vispārīgās vienošanās (I daļa) un II daļa 3.4., 3.5.,</w:t>
      </w:r>
      <w:r w:rsidR="001E69BE">
        <w:rPr>
          <w:rFonts w:ascii="Times New Roman" w:hAnsi="Times New Roman"/>
          <w:szCs w:val="24"/>
        </w:rPr>
        <w:t xml:space="preserve"> 3.6.</w:t>
      </w:r>
      <w:r w:rsidR="001F635B" w:rsidRPr="007E714C">
        <w:rPr>
          <w:rFonts w:ascii="Times New Roman" w:hAnsi="Times New Roman"/>
          <w:szCs w:val="24"/>
        </w:rPr>
        <w:t xml:space="preserve"> punktu</w:t>
      </w:r>
      <w:r w:rsidR="00BF1824" w:rsidRPr="007E714C">
        <w:rPr>
          <w:rFonts w:ascii="Times New Roman" w:hAnsi="Times New Roman"/>
          <w:szCs w:val="24"/>
        </w:rPr>
        <w:t>, Vispārīgās vienošanās I un II daļas pielikumā pievienoto Pieteikumu dalību cenu aptaujā</w:t>
      </w:r>
      <w:r w:rsidR="001F635B" w:rsidRPr="007E714C">
        <w:rPr>
          <w:rFonts w:ascii="Times New Roman" w:hAnsi="Times New Roman"/>
          <w:szCs w:val="24"/>
        </w:rPr>
        <w:t xml:space="preserve"> izsakot tos jaunā redakcijā.</w:t>
      </w:r>
    </w:p>
    <w:p w:rsidR="001F635B" w:rsidRPr="007E714C" w:rsidRDefault="001F635B" w:rsidP="007E714C">
      <w:pPr>
        <w:jc w:val="both"/>
        <w:rPr>
          <w:rFonts w:ascii="Times New Roman" w:hAnsi="Times New Roman"/>
          <w:szCs w:val="24"/>
        </w:rPr>
      </w:pPr>
    </w:p>
    <w:p w:rsidR="004B6C28" w:rsidRPr="007E714C" w:rsidRDefault="001F635B" w:rsidP="007E714C">
      <w:pPr>
        <w:jc w:val="both"/>
        <w:rPr>
          <w:rFonts w:ascii="Times New Roman" w:hAnsi="Times New Roman"/>
          <w:szCs w:val="24"/>
        </w:rPr>
      </w:pPr>
      <w:r w:rsidRPr="007E714C">
        <w:rPr>
          <w:rFonts w:ascii="Times New Roman" w:hAnsi="Times New Roman"/>
          <w:szCs w:val="24"/>
        </w:rPr>
        <w:lastRenderedPageBreak/>
        <w:t>I</w:t>
      </w:r>
      <w:r w:rsidR="004B6C28" w:rsidRPr="007E714C">
        <w:rPr>
          <w:rFonts w:ascii="Times New Roman" w:hAnsi="Times New Roman"/>
          <w:szCs w:val="24"/>
        </w:rPr>
        <w:t xml:space="preserve">zteikt </w:t>
      </w:r>
      <w:r w:rsidR="0020164C" w:rsidRPr="007E714C">
        <w:rPr>
          <w:rFonts w:ascii="Times New Roman" w:hAnsi="Times New Roman"/>
          <w:szCs w:val="24"/>
        </w:rPr>
        <w:t xml:space="preserve">Nolikuma </w:t>
      </w:r>
      <w:r w:rsidR="004B6C28" w:rsidRPr="007E714C">
        <w:rPr>
          <w:rFonts w:ascii="Times New Roman" w:hAnsi="Times New Roman"/>
          <w:szCs w:val="24"/>
        </w:rPr>
        <w:t>8.1.2.punktu šādā redakcijā:</w:t>
      </w:r>
    </w:p>
    <w:p w:rsidR="004B6C28" w:rsidRPr="007E714C" w:rsidRDefault="004B6C28" w:rsidP="007E714C">
      <w:pPr>
        <w:jc w:val="both"/>
        <w:rPr>
          <w:rFonts w:ascii="Times New Roman" w:hAnsi="Times New Roman"/>
          <w:szCs w:val="24"/>
        </w:rPr>
      </w:pPr>
    </w:p>
    <w:p w:rsidR="005D5FCF" w:rsidRPr="007E714C" w:rsidRDefault="004B6C28" w:rsidP="007A1034">
      <w:pPr>
        <w:jc w:val="both"/>
        <w:rPr>
          <w:rFonts w:ascii="Times New Roman" w:hAnsi="Times New Roman"/>
          <w:szCs w:val="24"/>
        </w:rPr>
      </w:pPr>
      <w:r w:rsidRPr="007E714C">
        <w:rPr>
          <w:rFonts w:ascii="Times New Roman" w:hAnsi="Times New Roman"/>
          <w:szCs w:val="24"/>
        </w:rPr>
        <w:t xml:space="preserve">“8.1.2. </w:t>
      </w:r>
      <w:r w:rsidRPr="007E714C">
        <w:rPr>
          <w:rFonts w:ascii="Times New Roman" w:hAnsi="Times New Roman"/>
          <w:iCs/>
          <w:szCs w:val="24"/>
        </w:rPr>
        <w:t xml:space="preserve">Piedāvājuma cenā </w:t>
      </w:r>
      <w:r w:rsidRPr="007E714C">
        <w:rPr>
          <w:rFonts w:ascii="Times New Roman" w:hAnsi="Times New Roman"/>
          <w:b/>
          <w:iCs/>
          <w:szCs w:val="24"/>
        </w:rPr>
        <w:t>iekļaujot</w:t>
      </w:r>
      <w:r w:rsidRPr="007E714C">
        <w:rPr>
          <w:rFonts w:ascii="Times New Roman" w:hAnsi="Times New Roman"/>
          <w:iCs/>
          <w:szCs w:val="24"/>
        </w:rPr>
        <w:t xml:space="preserve"> </w:t>
      </w:r>
      <w:r w:rsidRPr="007E714C">
        <w:rPr>
          <w:rFonts w:ascii="Times New Roman" w:hAnsi="Times New Roman"/>
          <w:b/>
          <w:bCs/>
          <w:color w:val="000000"/>
          <w:szCs w:val="24"/>
          <w:shd w:val="clear" w:color="auto" w:fill="FFFFFF"/>
        </w:rPr>
        <w:t xml:space="preserve">- </w:t>
      </w:r>
      <w:r w:rsidRPr="007E714C">
        <w:rPr>
          <w:rFonts w:ascii="Times New Roman" w:hAnsi="Times New Roman"/>
          <w:bCs/>
          <w:color w:val="000000"/>
          <w:szCs w:val="24"/>
          <w:shd w:val="clear" w:color="auto" w:fill="FFFFFF"/>
        </w:rPr>
        <w:t xml:space="preserve">līguma izpildei nepieciešamā balansēšanas pakalpojuma izmaksas, dabasgāzes uzglabāšanas izmaksas un maksu par pārvades sistēmas pakalpojumu – pārvades jaudu un </w:t>
      </w:r>
      <w:r w:rsidRPr="007E714C">
        <w:rPr>
          <w:rFonts w:ascii="Times New Roman" w:hAnsi="Times New Roman"/>
          <w:b/>
          <w:bCs/>
          <w:color w:val="000000"/>
          <w:szCs w:val="24"/>
          <w:shd w:val="clear" w:color="auto" w:fill="FFFFFF"/>
        </w:rPr>
        <w:t xml:space="preserve">neiekļaujot – </w:t>
      </w:r>
      <w:r w:rsidR="001E69BE" w:rsidRPr="007E714C">
        <w:rPr>
          <w:rFonts w:ascii="Times New Roman" w:hAnsi="Times New Roman"/>
          <w:bCs/>
          <w:color w:val="000000"/>
          <w:szCs w:val="24"/>
          <w:shd w:val="clear" w:color="auto" w:fill="FFFFFF"/>
        </w:rPr>
        <w:t>izmaksas par</w:t>
      </w:r>
      <w:r w:rsidR="001E69BE" w:rsidRPr="007E714C">
        <w:rPr>
          <w:rFonts w:ascii="Times New Roman" w:hAnsi="Times New Roman"/>
          <w:b/>
          <w:bCs/>
          <w:color w:val="000000"/>
          <w:szCs w:val="24"/>
          <w:shd w:val="clear" w:color="auto" w:fill="FFFFFF"/>
        </w:rPr>
        <w:t xml:space="preserve"> </w:t>
      </w:r>
      <w:r w:rsidR="001E69BE">
        <w:rPr>
          <w:rFonts w:ascii="Times New Roman" w:hAnsi="Times New Roman"/>
          <w:bCs/>
          <w:color w:val="000000"/>
          <w:szCs w:val="24"/>
          <w:shd w:val="clear" w:color="auto" w:fill="FFFFFF"/>
        </w:rPr>
        <w:t xml:space="preserve">sadales sistēmas pakalpojumiem, maksu par pārvades sistēmas pakalpojumu </w:t>
      </w:r>
      <w:r w:rsidR="001E69BE" w:rsidRPr="007E714C">
        <w:rPr>
          <w:rFonts w:ascii="Times New Roman" w:hAnsi="Times New Roman"/>
          <w:bCs/>
          <w:color w:val="000000"/>
          <w:szCs w:val="24"/>
          <w:shd w:val="clear" w:color="auto" w:fill="FFFFFF"/>
        </w:rPr>
        <w:t>– izejas punktu Latvijas lietotāju apgādei, akcīzes nodokli</w:t>
      </w:r>
      <w:r w:rsidR="001F635B" w:rsidRPr="007E714C">
        <w:rPr>
          <w:rFonts w:ascii="Times New Roman" w:hAnsi="Times New Roman"/>
          <w:bCs/>
          <w:color w:val="000000"/>
          <w:szCs w:val="24"/>
          <w:shd w:val="clear" w:color="auto" w:fill="FFFFFF"/>
        </w:rPr>
        <w:t>.</w:t>
      </w:r>
    </w:p>
    <w:p w:rsidR="001F635B" w:rsidRPr="007E714C" w:rsidRDefault="001F635B" w:rsidP="007A1034">
      <w:pPr>
        <w:jc w:val="both"/>
        <w:rPr>
          <w:rFonts w:ascii="Times New Roman" w:hAnsi="Times New Roman"/>
          <w:szCs w:val="24"/>
        </w:rPr>
      </w:pPr>
    </w:p>
    <w:p w:rsidR="001F635B" w:rsidRPr="007E714C" w:rsidRDefault="001F635B" w:rsidP="007A1034">
      <w:pPr>
        <w:jc w:val="both"/>
        <w:rPr>
          <w:rFonts w:ascii="Times New Roman" w:hAnsi="Times New Roman"/>
          <w:szCs w:val="24"/>
        </w:rPr>
      </w:pPr>
      <w:r w:rsidRPr="007E714C">
        <w:rPr>
          <w:rFonts w:ascii="Times New Roman" w:hAnsi="Times New Roman"/>
          <w:szCs w:val="24"/>
        </w:rPr>
        <w:t>Izteikti nolikuma pielikuma Nr.7 “Iepirkuma priekšm</w:t>
      </w:r>
      <w:r w:rsidR="007E714C">
        <w:rPr>
          <w:rFonts w:ascii="Times New Roman" w:hAnsi="Times New Roman"/>
          <w:szCs w:val="24"/>
        </w:rPr>
        <w:t xml:space="preserve">eta I daļa, Dabasgāzes cena” un </w:t>
      </w:r>
      <w:r w:rsidRPr="007E714C">
        <w:rPr>
          <w:rFonts w:ascii="Times New Roman" w:hAnsi="Times New Roman"/>
          <w:szCs w:val="24"/>
        </w:rPr>
        <w:t>“Iepirkuma priekšmeta II daļa, Dabasgāzes cena” šādā redakcijā:</w:t>
      </w:r>
    </w:p>
    <w:p w:rsidR="001F635B" w:rsidRPr="007E714C" w:rsidRDefault="001F635B" w:rsidP="007A1034">
      <w:pPr>
        <w:jc w:val="both"/>
        <w:rPr>
          <w:rFonts w:ascii="Times New Roman" w:hAnsi="Times New Roman"/>
          <w:szCs w:val="24"/>
        </w:rPr>
      </w:pPr>
    </w:p>
    <w:p w:rsidR="001F635B" w:rsidRPr="007E714C" w:rsidRDefault="001F635B" w:rsidP="007A1034">
      <w:pPr>
        <w:jc w:val="both"/>
        <w:rPr>
          <w:rFonts w:ascii="Times New Roman" w:hAnsi="Times New Roman"/>
          <w:b/>
          <w:szCs w:val="24"/>
        </w:rPr>
      </w:pPr>
      <w:r w:rsidRPr="007E714C">
        <w:rPr>
          <w:rFonts w:ascii="Times New Roman" w:hAnsi="Times New Roman"/>
          <w:b/>
          <w:szCs w:val="24"/>
        </w:rPr>
        <w:t>Iepirkuma priekšmeta I daļai</w:t>
      </w:r>
      <w:r w:rsidRPr="007E714C">
        <w:rPr>
          <w:rFonts w:ascii="Times New Roman" w:hAnsi="Times New Roman"/>
          <w:szCs w:val="24"/>
        </w:rPr>
        <w:t xml:space="preserve"> – saskaņā ar </w:t>
      </w:r>
      <w:r w:rsidRPr="007E714C">
        <w:rPr>
          <w:rFonts w:ascii="Times New Roman" w:hAnsi="Times New Roman"/>
          <w:i/>
          <w:szCs w:val="24"/>
        </w:rPr>
        <w:t>Pielikumu Nr.6</w:t>
      </w:r>
      <w:r w:rsidRPr="007E714C">
        <w:rPr>
          <w:rFonts w:ascii="Times New Roman" w:hAnsi="Times New Roman"/>
          <w:szCs w:val="24"/>
        </w:rPr>
        <w:t xml:space="preserve"> “Objektu saraksts dabasgāzes piegādei”:</w:t>
      </w:r>
    </w:p>
    <w:tbl>
      <w:tblPr>
        <w:tblpPr w:leftFromText="180" w:rightFromText="180" w:vertAnchor="text" w:horzAnchor="margin" w:tblpY="17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800"/>
        <w:gridCol w:w="3598"/>
      </w:tblGrid>
      <w:tr w:rsidR="001F635B" w:rsidRPr="007E714C" w:rsidTr="00E26606">
        <w:trPr>
          <w:trHeight w:val="811"/>
        </w:trPr>
        <w:tc>
          <w:tcPr>
            <w:tcW w:w="3528" w:type="dxa"/>
            <w:vMerge w:val="restart"/>
            <w:vAlign w:val="center"/>
          </w:tcPr>
          <w:p w:rsidR="001F635B" w:rsidRPr="007E714C" w:rsidRDefault="001F635B" w:rsidP="007E714C">
            <w:pPr>
              <w:rPr>
                <w:rFonts w:ascii="Times New Roman" w:hAnsi="Times New Roman"/>
                <w:szCs w:val="24"/>
              </w:rPr>
            </w:pPr>
          </w:p>
          <w:p w:rsidR="001F635B" w:rsidRPr="007E714C" w:rsidRDefault="001F635B" w:rsidP="007E714C">
            <w:pPr>
              <w:ind w:left="142"/>
              <w:rPr>
                <w:rFonts w:ascii="Times New Roman" w:hAnsi="Times New Roman"/>
                <w:color w:val="000000"/>
                <w:szCs w:val="24"/>
                <w:u w:val="single"/>
                <w:shd w:val="clear" w:color="auto" w:fill="FFFFFF"/>
              </w:rPr>
            </w:pPr>
            <w:r w:rsidRPr="007E714C">
              <w:rPr>
                <w:rFonts w:ascii="Times New Roman" w:hAnsi="Times New Roman"/>
                <w:b/>
                <w:bCs/>
                <w:color w:val="000000"/>
                <w:szCs w:val="24"/>
                <w:u w:val="single"/>
                <w:shd w:val="clear" w:color="auto" w:fill="FFFFFF"/>
              </w:rPr>
              <w:t xml:space="preserve">Dabasgāzes  cena: </w:t>
            </w:r>
          </w:p>
          <w:p w:rsidR="001F635B" w:rsidRPr="007E714C" w:rsidRDefault="001F635B" w:rsidP="007E714C">
            <w:pPr>
              <w:ind w:left="142"/>
              <w:rPr>
                <w:rFonts w:ascii="Times New Roman" w:hAnsi="Times New Roman"/>
                <w:bCs/>
                <w:color w:val="000000"/>
                <w:szCs w:val="24"/>
                <w:shd w:val="clear" w:color="auto" w:fill="FFFFFF"/>
              </w:rPr>
            </w:pPr>
            <w:r w:rsidRPr="007E714C">
              <w:rPr>
                <w:rFonts w:ascii="Times New Roman" w:hAnsi="Times New Roman"/>
                <w:b/>
                <w:bCs/>
                <w:color w:val="000000"/>
                <w:szCs w:val="24"/>
                <w:shd w:val="clear" w:color="auto" w:fill="FFFFFF"/>
              </w:rPr>
              <w:t>Iekļaujot -</w:t>
            </w:r>
            <w:r w:rsidRPr="007E714C">
              <w:rPr>
                <w:rFonts w:ascii="Times New Roman" w:hAnsi="Times New Roman"/>
                <w:bCs/>
                <w:color w:val="000000"/>
                <w:szCs w:val="24"/>
                <w:shd w:val="clear" w:color="auto" w:fill="FFFFFF"/>
              </w:rPr>
              <w:t xml:space="preserve"> līguma izpildei nepieciešamā balansēšanas pakalpojuma izmaksas, dabasgāzes uzglabāšanas izmaksas un maksu par pārvades sistēmas pakalpojumu – pārvades jaudu.</w:t>
            </w:r>
          </w:p>
          <w:p w:rsidR="001F635B" w:rsidRPr="007E714C" w:rsidRDefault="001F635B" w:rsidP="007E714C">
            <w:pPr>
              <w:ind w:left="142"/>
              <w:rPr>
                <w:rFonts w:ascii="Times New Roman" w:hAnsi="Times New Roman"/>
                <w:b/>
                <w:bCs/>
                <w:color w:val="000000"/>
                <w:szCs w:val="24"/>
                <w:shd w:val="clear" w:color="auto" w:fill="FFFFFF"/>
              </w:rPr>
            </w:pPr>
          </w:p>
          <w:p w:rsidR="001F635B" w:rsidRPr="007E714C" w:rsidRDefault="001F635B" w:rsidP="007E714C">
            <w:pPr>
              <w:ind w:left="142"/>
              <w:rPr>
                <w:rFonts w:ascii="Times New Roman" w:hAnsi="Times New Roman"/>
                <w:color w:val="000000"/>
                <w:szCs w:val="24"/>
                <w:shd w:val="clear" w:color="auto" w:fill="FFFFFF"/>
              </w:rPr>
            </w:pPr>
            <w:r w:rsidRPr="007E714C">
              <w:rPr>
                <w:rFonts w:ascii="Times New Roman" w:hAnsi="Times New Roman"/>
                <w:b/>
                <w:bCs/>
                <w:color w:val="000000"/>
                <w:szCs w:val="24"/>
                <w:shd w:val="clear" w:color="auto" w:fill="FFFFFF"/>
              </w:rPr>
              <w:t xml:space="preserve">Neiekļaujot - </w:t>
            </w:r>
            <w:r w:rsidR="001E69BE" w:rsidRPr="007E714C">
              <w:rPr>
                <w:rFonts w:ascii="Times New Roman" w:hAnsi="Times New Roman"/>
                <w:bCs/>
                <w:color w:val="000000"/>
                <w:szCs w:val="24"/>
                <w:shd w:val="clear" w:color="auto" w:fill="FFFFFF"/>
              </w:rPr>
              <w:t xml:space="preserve"> izmaksas par</w:t>
            </w:r>
            <w:r w:rsidR="001E69BE" w:rsidRPr="007E714C">
              <w:rPr>
                <w:rFonts w:ascii="Times New Roman" w:hAnsi="Times New Roman"/>
                <w:b/>
                <w:bCs/>
                <w:color w:val="000000"/>
                <w:szCs w:val="24"/>
                <w:shd w:val="clear" w:color="auto" w:fill="FFFFFF"/>
              </w:rPr>
              <w:t xml:space="preserve"> </w:t>
            </w:r>
            <w:r w:rsidR="001E69BE" w:rsidRPr="007E714C">
              <w:rPr>
                <w:rFonts w:ascii="Times New Roman" w:hAnsi="Times New Roman"/>
                <w:bCs/>
                <w:color w:val="000000"/>
                <w:szCs w:val="24"/>
                <w:shd w:val="clear" w:color="auto" w:fill="FFFFFF"/>
              </w:rPr>
              <w:t xml:space="preserve">sadales sistēmas pakalpojumiem </w:t>
            </w:r>
            <w:r w:rsidR="001E69BE">
              <w:rPr>
                <w:rFonts w:ascii="Times New Roman" w:hAnsi="Times New Roman"/>
                <w:bCs/>
                <w:color w:val="000000"/>
                <w:szCs w:val="24"/>
                <w:shd w:val="clear" w:color="auto" w:fill="FFFFFF"/>
              </w:rPr>
              <w:t>, maksu par pārvades sistēmas pakalpojumu</w:t>
            </w:r>
            <w:r w:rsidR="001E69BE" w:rsidRPr="007E714C">
              <w:rPr>
                <w:rFonts w:ascii="Times New Roman" w:hAnsi="Times New Roman"/>
                <w:bCs/>
                <w:color w:val="000000"/>
                <w:szCs w:val="24"/>
                <w:shd w:val="clear" w:color="auto" w:fill="FFFFFF"/>
              </w:rPr>
              <w:t>– izejas punktu Latvijas lietotāju apgādei, akcīzes nodokli</w:t>
            </w:r>
          </w:p>
          <w:p w:rsidR="001F635B" w:rsidRPr="007E714C" w:rsidRDefault="001F635B" w:rsidP="007E714C">
            <w:pPr>
              <w:tabs>
                <w:tab w:val="left" w:pos="612"/>
              </w:tabs>
              <w:suppressAutoHyphens/>
              <w:rPr>
                <w:rFonts w:ascii="Times New Roman" w:hAnsi="Times New Roman"/>
                <w:i/>
                <w:szCs w:val="24"/>
                <w:highlight w:val="yellow"/>
                <w:lang w:eastAsia="zh-CN"/>
              </w:rPr>
            </w:pPr>
          </w:p>
        </w:tc>
        <w:tc>
          <w:tcPr>
            <w:tcW w:w="1800" w:type="dxa"/>
            <w:vAlign w:val="center"/>
          </w:tcPr>
          <w:p w:rsidR="001F635B" w:rsidRPr="007E714C" w:rsidRDefault="001F635B" w:rsidP="007E714C">
            <w:pPr>
              <w:ind w:left="158"/>
              <w:rPr>
                <w:rFonts w:ascii="Times New Roman" w:hAnsi="Times New Roman"/>
                <w:b/>
                <w:szCs w:val="24"/>
              </w:rPr>
            </w:pPr>
            <w:r w:rsidRPr="007E714C">
              <w:rPr>
                <w:rFonts w:ascii="Times New Roman" w:hAnsi="Times New Roman"/>
                <w:b/>
                <w:szCs w:val="24"/>
              </w:rPr>
              <w:t>Mērvienība</w:t>
            </w:r>
          </w:p>
        </w:tc>
        <w:tc>
          <w:tcPr>
            <w:tcW w:w="3598" w:type="dxa"/>
          </w:tcPr>
          <w:p w:rsidR="001F635B" w:rsidRPr="007E714C" w:rsidRDefault="001F635B" w:rsidP="007E714C">
            <w:pPr>
              <w:rPr>
                <w:rFonts w:ascii="Times New Roman" w:hAnsi="Times New Roman"/>
                <w:b/>
                <w:szCs w:val="24"/>
              </w:rPr>
            </w:pPr>
          </w:p>
          <w:p w:rsidR="001F635B" w:rsidRPr="007E714C" w:rsidRDefault="001F635B" w:rsidP="007E714C">
            <w:pPr>
              <w:ind w:left="59"/>
              <w:jc w:val="center"/>
              <w:rPr>
                <w:rFonts w:ascii="Times New Roman" w:hAnsi="Times New Roman"/>
                <w:b/>
                <w:szCs w:val="24"/>
              </w:rPr>
            </w:pPr>
            <w:r w:rsidRPr="007E714C">
              <w:rPr>
                <w:rFonts w:ascii="Times New Roman" w:hAnsi="Times New Roman"/>
                <w:b/>
                <w:szCs w:val="24"/>
              </w:rPr>
              <w:t>EUR, bez PVN</w:t>
            </w:r>
          </w:p>
          <w:p w:rsidR="001F635B" w:rsidRPr="007E714C" w:rsidRDefault="001F635B" w:rsidP="007E714C">
            <w:pPr>
              <w:jc w:val="both"/>
              <w:rPr>
                <w:rFonts w:ascii="Times New Roman" w:hAnsi="Times New Roman"/>
                <w:bCs/>
                <w:i/>
                <w:szCs w:val="24"/>
              </w:rPr>
            </w:pPr>
            <w:r w:rsidRPr="007E714C">
              <w:rPr>
                <w:rFonts w:ascii="Times New Roman" w:hAnsi="Times New Roman"/>
                <w:bCs/>
                <w:i/>
                <w:szCs w:val="24"/>
              </w:rPr>
              <w:t xml:space="preserve">(Jānorāda piedāvātā cena EUR bez PVN </w:t>
            </w:r>
            <w:r w:rsidRPr="007E714C">
              <w:rPr>
                <w:rFonts w:ascii="Times New Roman" w:hAnsi="Times New Roman"/>
                <w:i/>
                <w:iCs/>
                <w:szCs w:val="24"/>
              </w:rPr>
              <w:t>ar precizitāti 5 (piecas) zīmes aiz komata)</w:t>
            </w:r>
          </w:p>
          <w:p w:rsidR="001F635B" w:rsidRPr="007E714C" w:rsidRDefault="001F635B" w:rsidP="007E714C">
            <w:pPr>
              <w:rPr>
                <w:rFonts w:ascii="Times New Roman" w:hAnsi="Times New Roman"/>
                <w:b/>
                <w:szCs w:val="24"/>
              </w:rPr>
            </w:pPr>
          </w:p>
        </w:tc>
      </w:tr>
      <w:tr w:rsidR="001F635B" w:rsidRPr="007E714C" w:rsidTr="00E26606">
        <w:trPr>
          <w:trHeight w:val="295"/>
        </w:trPr>
        <w:tc>
          <w:tcPr>
            <w:tcW w:w="3528" w:type="dxa"/>
            <w:vMerge/>
            <w:vAlign w:val="center"/>
          </w:tcPr>
          <w:p w:rsidR="001F635B" w:rsidRPr="007E714C" w:rsidRDefault="001F635B" w:rsidP="007E714C">
            <w:pPr>
              <w:rPr>
                <w:rFonts w:ascii="Times New Roman" w:hAnsi="Times New Roman"/>
                <w:szCs w:val="24"/>
              </w:rPr>
            </w:pPr>
          </w:p>
        </w:tc>
        <w:tc>
          <w:tcPr>
            <w:tcW w:w="1800" w:type="dxa"/>
            <w:vAlign w:val="center"/>
          </w:tcPr>
          <w:p w:rsidR="001F635B" w:rsidRPr="007E714C" w:rsidRDefault="001F635B" w:rsidP="007E714C">
            <w:pPr>
              <w:jc w:val="center"/>
              <w:rPr>
                <w:rFonts w:ascii="Times New Roman" w:hAnsi="Times New Roman"/>
                <w:szCs w:val="24"/>
              </w:rPr>
            </w:pPr>
            <w:r w:rsidRPr="007E714C">
              <w:rPr>
                <w:rFonts w:ascii="Times New Roman" w:hAnsi="Times New Roman"/>
                <w:szCs w:val="24"/>
              </w:rPr>
              <w:t>1 kWh</w:t>
            </w:r>
            <w:r w:rsidRPr="007E714C">
              <w:rPr>
                <w:rFonts w:ascii="Times New Roman" w:hAnsi="Times New Roman"/>
                <w:color w:val="FF0000"/>
                <w:szCs w:val="24"/>
              </w:rPr>
              <w:t xml:space="preserve"> </w:t>
            </w:r>
          </w:p>
        </w:tc>
        <w:tc>
          <w:tcPr>
            <w:tcW w:w="3598" w:type="dxa"/>
            <w:shd w:val="clear" w:color="auto" w:fill="auto"/>
          </w:tcPr>
          <w:p w:rsidR="001F635B" w:rsidRPr="007E714C" w:rsidRDefault="001F635B" w:rsidP="007E714C">
            <w:pPr>
              <w:rPr>
                <w:rFonts w:ascii="Times New Roman" w:hAnsi="Times New Roman"/>
                <w:szCs w:val="24"/>
              </w:rPr>
            </w:pPr>
          </w:p>
        </w:tc>
      </w:tr>
    </w:tbl>
    <w:p w:rsidR="001F635B" w:rsidRPr="007E714C" w:rsidRDefault="001F635B" w:rsidP="007E714C">
      <w:pPr>
        <w:rPr>
          <w:rFonts w:ascii="Times New Roman" w:hAnsi="Times New Roman"/>
          <w:szCs w:val="24"/>
        </w:rPr>
      </w:pPr>
    </w:p>
    <w:p w:rsidR="001F635B" w:rsidRPr="007E714C" w:rsidRDefault="001F635B" w:rsidP="007E714C">
      <w:pPr>
        <w:jc w:val="both"/>
        <w:rPr>
          <w:rFonts w:ascii="Times New Roman" w:hAnsi="Times New Roman"/>
          <w:szCs w:val="24"/>
        </w:rPr>
      </w:pPr>
      <w:r w:rsidRPr="007E714C">
        <w:rPr>
          <w:rFonts w:ascii="Times New Roman" w:hAnsi="Times New Roman"/>
          <w:b/>
          <w:szCs w:val="24"/>
        </w:rPr>
        <w:t>Iepirkuma priekšmeta II daļai</w:t>
      </w:r>
      <w:r w:rsidRPr="007E714C">
        <w:rPr>
          <w:rFonts w:ascii="Times New Roman" w:hAnsi="Times New Roman"/>
          <w:szCs w:val="24"/>
        </w:rPr>
        <w:t xml:space="preserve"> – Latvijas Ģeotelpiskās informācijas aģentūrai, kas atrodas Ojāra Vācieša ielā 43, Rīgā, LV-1004:</w:t>
      </w:r>
    </w:p>
    <w:tbl>
      <w:tblPr>
        <w:tblpPr w:leftFromText="180" w:rightFromText="180" w:vertAnchor="text" w:horzAnchor="margin" w:tblpY="17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800"/>
        <w:gridCol w:w="3598"/>
      </w:tblGrid>
      <w:tr w:rsidR="001F635B" w:rsidRPr="007E714C" w:rsidTr="00E26606">
        <w:trPr>
          <w:trHeight w:val="811"/>
        </w:trPr>
        <w:tc>
          <w:tcPr>
            <w:tcW w:w="3528" w:type="dxa"/>
            <w:vMerge w:val="restart"/>
            <w:vAlign w:val="center"/>
          </w:tcPr>
          <w:p w:rsidR="001F635B" w:rsidRPr="007E714C" w:rsidRDefault="001F635B" w:rsidP="007E714C">
            <w:pPr>
              <w:rPr>
                <w:rFonts w:ascii="Times New Roman" w:hAnsi="Times New Roman"/>
                <w:szCs w:val="24"/>
              </w:rPr>
            </w:pPr>
          </w:p>
          <w:p w:rsidR="001F635B" w:rsidRPr="007E714C" w:rsidRDefault="001F635B" w:rsidP="007E714C">
            <w:pPr>
              <w:ind w:left="142"/>
              <w:rPr>
                <w:rFonts w:ascii="Times New Roman" w:hAnsi="Times New Roman"/>
                <w:color w:val="000000"/>
                <w:szCs w:val="24"/>
                <w:u w:val="single"/>
                <w:shd w:val="clear" w:color="auto" w:fill="FFFFFF"/>
              </w:rPr>
            </w:pPr>
            <w:r w:rsidRPr="007E714C">
              <w:rPr>
                <w:rFonts w:ascii="Times New Roman" w:hAnsi="Times New Roman"/>
                <w:b/>
                <w:bCs/>
                <w:color w:val="000000"/>
                <w:szCs w:val="24"/>
                <w:u w:val="single"/>
                <w:shd w:val="clear" w:color="auto" w:fill="FFFFFF"/>
              </w:rPr>
              <w:t xml:space="preserve">Dabasgāzes  cena: </w:t>
            </w:r>
          </w:p>
          <w:p w:rsidR="001F635B" w:rsidRPr="007E714C" w:rsidRDefault="001F635B" w:rsidP="007E714C">
            <w:pPr>
              <w:ind w:left="142"/>
              <w:rPr>
                <w:rFonts w:ascii="Times New Roman" w:hAnsi="Times New Roman"/>
                <w:bCs/>
                <w:color w:val="000000"/>
                <w:szCs w:val="24"/>
                <w:shd w:val="clear" w:color="auto" w:fill="FFFFFF"/>
              </w:rPr>
            </w:pPr>
            <w:r w:rsidRPr="007E714C">
              <w:rPr>
                <w:rFonts w:ascii="Times New Roman" w:hAnsi="Times New Roman"/>
                <w:b/>
                <w:bCs/>
                <w:color w:val="000000"/>
                <w:szCs w:val="24"/>
                <w:shd w:val="clear" w:color="auto" w:fill="FFFFFF"/>
              </w:rPr>
              <w:t>Iekļaujot -</w:t>
            </w:r>
            <w:r w:rsidRPr="007E714C">
              <w:rPr>
                <w:rFonts w:ascii="Times New Roman" w:hAnsi="Times New Roman"/>
                <w:bCs/>
                <w:color w:val="000000"/>
                <w:szCs w:val="24"/>
                <w:shd w:val="clear" w:color="auto" w:fill="FFFFFF"/>
              </w:rPr>
              <w:t xml:space="preserve"> līguma izpildei nepieciešamā balansēšanas pakalpojuma izmaksas, dabasgāzes uzglabāšanas izmaksas un maksu par pārvades sistēmas pakalpojumu – pārvades jaudu.</w:t>
            </w:r>
          </w:p>
          <w:p w:rsidR="001F635B" w:rsidRPr="007E714C" w:rsidRDefault="001F635B" w:rsidP="007E714C">
            <w:pPr>
              <w:ind w:left="142"/>
              <w:rPr>
                <w:rFonts w:ascii="Times New Roman" w:hAnsi="Times New Roman"/>
                <w:b/>
                <w:bCs/>
                <w:color w:val="000000"/>
                <w:szCs w:val="24"/>
                <w:shd w:val="clear" w:color="auto" w:fill="FFFFFF"/>
              </w:rPr>
            </w:pPr>
          </w:p>
          <w:p w:rsidR="001F635B" w:rsidRPr="007E714C" w:rsidRDefault="001F635B" w:rsidP="007E714C">
            <w:pPr>
              <w:ind w:left="142"/>
              <w:rPr>
                <w:rFonts w:ascii="Times New Roman" w:hAnsi="Times New Roman"/>
                <w:color w:val="000000"/>
                <w:szCs w:val="24"/>
                <w:shd w:val="clear" w:color="auto" w:fill="FFFFFF"/>
              </w:rPr>
            </w:pPr>
            <w:r w:rsidRPr="007E714C">
              <w:rPr>
                <w:rFonts w:ascii="Times New Roman" w:hAnsi="Times New Roman"/>
                <w:b/>
                <w:bCs/>
                <w:color w:val="000000"/>
                <w:szCs w:val="24"/>
                <w:shd w:val="clear" w:color="auto" w:fill="FFFFFF"/>
              </w:rPr>
              <w:t xml:space="preserve">Neiekļaujot - </w:t>
            </w:r>
            <w:r w:rsidRPr="007E714C">
              <w:rPr>
                <w:rFonts w:ascii="Times New Roman" w:hAnsi="Times New Roman"/>
                <w:bCs/>
                <w:color w:val="000000"/>
                <w:szCs w:val="24"/>
                <w:shd w:val="clear" w:color="auto" w:fill="FFFFFF"/>
              </w:rPr>
              <w:t xml:space="preserve"> </w:t>
            </w:r>
            <w:r w:rsidR="001E69BE" w:rsidRPr="007E714C">
              <w:rPr>
                <w:rFonts w:ascii="Times New Roman" w:hAnsi="Times New Roman"/>
                <w:bCs/>
                <w:color w:val="000000"/>
                <w:szCs w:val="24"/>
                <w:shd w:val="clear" w:color="auto" w:fill="FFFFFF"/>
              </w:rPr>
              <w:t xml:space="preserve"> izmaksas par</w:t>
            </w:r>
            <w:r w:rsidR="001E69BE" w:rsidRPr="007E714C">
              <w:rPr>
                <w:rFonts w:ascii="Times New Roman" w:hAnsi="Times New Roman"/>
                <w:b/>
                <w:bCs/>
                <w:color w:val="000000"/>
                <w:szCs w:val="24"/>
                <w:shd w:val="clear" w:color="auto" w:fill="FFFFFF"/>
              </w:rPr>
              <w:t xml:space="preserve"> </w:t>
            </w:r>
            <w:r w:rsidR="001E69BE" w:rsidRPr="007E714C">
              <w:rPr>
                <w:rFonts w:ascii="Times New Roman" w:hAnsi="Times New Roman"/>
                <w:bCs/>
                <w:color w:val="000000"/>
                <w:szCs w:val="24"/>
                <w:shd w:val="clear" w:color="auto" w:fill="FFFFFF"/>
              </w:rPr>
              <w:t xml:space="preserve">sadales sistēmas pakalpojumiem </w:t>
            </w:r>
            <w:r w:rsidR="001E69BE">
              <w:rPr>
                <w:rFonts w:ascii="Times New Roman" w:hAnsi="Times New Roman"/>
                <w:bCs/>
                <w:color w:val="000000"/>
                <w:szCs w:val="24"/>
                <w:shd w:val="clear" w:color="auto" w:fill="FFFFFF"/>
              </w:rPr>
              <w:t>, maksu par pārvades sistēmas pakalpojumu</w:t>
            </w:r>
            <w:r w:rsidR="001E69BE" w:rsidRPr="007E714C">
              <w:rPr>
                <w:rFonts w:ascii="Times New Roman" w:hAnsi="Times New Roman"/>
                <w:bCs/>
                <w:color w:val="000000"/>
                <w:szCs w:val="24"/>
                <w:shd w:val="clear" w:color="auto" w:fill="FFFFFF"/>
              </w:rPr>
              <w:t>– izejas punktu Latvijas lietotāju apgādei, akcīzes nodokli</w:t>
            </w:r>
          </w:p>
          <w:p w:rsidR="001F635B" w:rsidRPr="007E714C" w:rsidRDefault="001F635B" w:rsidP="007E714C">
            <w:pPr>
              <w:rPr>
                <w:rFonts w:ascii="Times New Roman" w:hAnsi="Times New Roman"/>
                <w:color w:val="000000"/>
                <w:szCs w:val="24"/>
                <w:shd w:val="clear" w:color="auto" w:fill="FFFFFF"/>
              </w:rPr>
            </w:pPr>
          </w:p>
          <w:p w:rsidR="001F635B" w:rsidRPr="007E714C" w:rsidRDefault="001F635B" w:rsidP="007E714C">
            <w:pPr>
              <w:tabs>
                <w:tab w:val="left" w:pos="612"/>
              </w:tabs>
              <w:suppressAutoHyphens/>
              <w:rPr>
                <w:rFonts w:ascii="Times New Roman" w:hAnsi="Times New Roman"/>
                <w:i/>
                <w:szCs w:val="24"/>
                <w:highlight w:val="yellow"/>
                <w:lang w:eastAsia="zh-CN"/>
              </w:rPr>
            </w:pPr>
          </w:p>
        </w:tc>
        <w:tc>
          <w:tcPr>
            <w:tcW w:w="1800" w:type="dxa"/>
            <w:vAlign w:val="center"/>
          </w:tcPr>
          <w:p w:rsidR="001F635B" w:rsidRPr="007E714C" w:rsidRDefault="001F635B" w:rsidP="007E714C">
            <w:pPr>
              <w:ind w:left="158"/>
              <w:rPr>
                <w:rFonts w:ascii="Times New Roman" w:hAnsi="Times New Roman"/>
                <w:b/>
                <w:szCs w:val="24"/>
              </w:rPr>
            </w:pPr>
            <w:r w:rsidRPr="007E714C">
              <w:rPr>
                <w:rFonts w:ascii="Times New Roman" w:hAnsi="Times New Roman"/>
                <w:b/>
                <w:szCs w:val="24"/>
              </w:rPr>
              <w:t>Mērvienība</w:t>
            </w:r>
          </w:p>
        </w:tc>
        <w:tc>
          <w:tcPr>
            <w:tcW w:w="3598" w:type="dxa"/>
          </w:tcPr>
          <w:p w:rsidR="001F635B" w:rsidRPr="007E714C" w:rsidRDefault="001F635B" w:rsidP="007E714C">
            <w:pPr>
              <w:rPr>
                <w:rFonts w:ascii="Times New Roman" w:hAnsi="Times New Roman"/>
                <w:b/>
                <w:szCs w:val="24"/>
              </w:rPr>
            </w:pPr>
          </w:p>
          <w:p w:rsidR="001F635B" w:rsidRPr="007E714C" w:rsidRDefault="001F635B" w:rsidP="007E714C">
            <w:pPr>
              <w:ind w:left="59"/>
              <w:jc w:val="center"/>
              <w:rPr>
                <w:rFonts w:ascii="Times New Roman" w:hAnsi="Times New Roman"/>
                <w:b/>
                <w:szCs w:val="24"/>
              </w:rPr>
            </w:pPr>
            <w:r w:rsidRPr="007E714C">
              <w:rPr>
                <w:rFonts w:ascii="Times New Roman" w:hAnsi="Times New Roman"/>
                <w:b/>
                <w:szCs w:val="24"/>
              </w:rPr>
              <w:t>EUR, bez PVN</w:t>
            </w:r>
          </w:p>
          <w:p w:rsidR="001F635B" w:rsidRPr="007E714C" w:rsidRDefault="001F635B" w:rsidP="007E714C">
            <w:pPr>
              <w:jc w:val="both"/>
              <w:rPr>
                <w:rFonts w:ascii="Times New Roman" w:hAnsi="Times New Roman"/>
                <w:bCs/>
                <w:i/>
                <w:szCs w:val="24"/>
              </w:rPr>
            </w:pPr>
            <w:r w:rsidRPr="007E714C">
              <w:rPr>
                <w:rFonts w:ascii="Times New Roman" w:hAnsi="Times New Roman"/>
                <w:bCs/>
                <w:i/>
                <w:szCs w:val="24"/>
              </w:rPr>
              <w:t xml:space="preserve">(Jānorāda piedāvātā cena EUR bez PVN </w:t>
            </w:r>
            <w:r w:rsidRPr="007E714C">
              <w:rPr>
                <w:rFonts w:ascii="Times New Roman" w:hAnsi="Times New Roman"/>
                <w:i/>
                <w:iCs/>
                <w:szCs w:val="24"/>
              </w:rPr>
              <w:t>ar precizitāti 5 (piecas) zīmes aiz komata)</w:t>
            </w:r>
          </w:p>
          <w:p w:rsidR="001F635B" w:rsidRPr="007E714C" w:rsidRDefault="001F635B" w:rsidP="007E714C">
            <w:pPr>
              <w:ind w:left="59"/>
              <w:jc w:val="center"/>
              <w:rPr>
                <w:rFonts w:ascii="Times New Roman" w:hAnsi="Times New Roman"/>
                <w:b/>
                <w:szCs w:val="24"/>
              </w:rPr>
            </w:pPr>
          </w:p>
        </w:tc>
      </w:tr>
      <w:tr w:rsidR="001F635B" w:rsidRPr="007E714C" w:rsidTr="00E26606">
        <w:trPr>
          <w:trHeight w:val="295"/>
        </w:trPr>
        <w:tc>
          <w:tcPr>
            <w:tcW w:w="3528" w:type="dxa"/>
            <w:vMerge/>
            <w:vAlign w:val="center"/>
          </w:tcPr>
          <w:p w:rsidR="001F635B" w:rsidRPr="007E714C" w:rsidRDefault="001F635B" w:rsidP="007E714C">
            <w:pPr>
              <w:rPr>
                <w:rFonts w:ascii="Times New Roman" w:hAnsi="Times New Roman"/>
                <w:szCs w:val="24"/>
              </w:rPr>
            </w:pPr>
          </w:p>
        </w:tc>
        <w:tc>
          <w:tcPr>
            <w:tcW w:w="1800" w:type="dxa"/>
            <w:vAlign w:val="center"/>
          </w:tcPr>
          <w:p w:rsidR="001F635B" w:rsidRPr="007E714C" w:rsidRDefault="001F635B" w:rsidP="007E714C">
            <w:pPr>
              <w:jc w:val="center"/>
              <w:rPr>
                <w:rFonts w:ascii="Times New Roman" w:hAnsi="Times New Roman"/>
                <w:szCs w:val="24"/>
              </w:rPr>
            </w:pPr>
            <w:r w:rsidRPr="007E714C">
              <w:rPr>
                <w:rFonts w:ascii="Times New Roman" w:hAnsi="Times New Roman"/>
                <w:szCs w:val="24"/>
              </w:rPr>
              <w:t>1 kWh</w:t>
            </w:r>
            <w:r w:rsidRPr="007E714C">
              <w:rPr>
                <w:rFonts w:ascii="Times New Roman" w:hAnsi="Times New Roman"/>
                <w:color w:val="FF0000"/>
                <w:szCs w:val="24"/>
              </w:rPr>
              <w:t xml:space="preserve"> </w:t>
            </w:r>
          </w:p>
        </w:tc>
        <w:tc>
          <w:tcPr>
            <w:tcW w:w="3598" w:type="dxa"/>
            <w:shd w:val="clear" w:color="auto" w:fill="auto"/>
          </w:tcPr>
          <w:p w:rsidR="001F635B" w:rsidRPr="007E714C" w:rsidRDefault="001F635B" w:rsidP="007E714C">
            <w:pPr>
              <w:rPr>
                <w:rFonts w:ascii="Times New Roman" w:hAnsi="Times New Roman"/>
                <w:szCs w:val="24"/>
              </w:rPr>
            </w:pPr>
          </w:p>
        </w:tc>
      </w:tr>
    </w:tbl>
    <w:p w:rsidR="001F635B" w:rsidRPr="007E714C" w:rsidRDefault="001F635B" w:rsidP="007E714C">
      <w:pPr>
        <w:rPr>
          <w:rFonts w:ascii="Times New Roman" w:hAnsi="Times New Roman"/>
          <w:szCs w:val="24"/>
        </w:rPr>
      </w:pPr>
    </w:p>
    <w:p w:rsidR="00BF1824" w:rsidRDefault="001F635B" w:rsidP="007E714C">
      <w:pPr>
        <w:rPr>
          <w:rFonts w:ascii="Times New Roman" w:hAnsi="Times New Roman"/>
          <w:szCs w:val="24"/>
        </w:rPr>
      </w:pPr>
      <w:r w:rsidRPr="007E714C">
        <w:rPr>
          <w:rFonts w:ascii="Times New Roman" w:hAnsi="Times New Roman"/>
          <w:szCs w:val="24"/>
        </w:rPr>
        <w:t xml:space="preserve">Izteikt Vispārīgās vienošanās </w:t>
      </w:r>
      <w:r w:rsidR="00BF1824" w:rsidRPr="007E714C">
        <w:rPr>
          <w:rFonts w:ascii="Times New Roman" w:hAnsi="Times New Roman"/>
          <w:szCs w:val="24"/>
        </w:rPr>
        <w:t>I un II daļas 3.4. punktu šādā redakcijā:</w:t>
      </w:r>
    </w:p>
    <w:p w:rsidR="00282214" w:rsidRPr="007E714C" w:rsidRDefault="00282214" w:rsidP="007E714C">
      <w:pPr>
        <w:rPr>
          <w:rFonts w:ascii="Times New Roman" w:hAnsi="Times New Roman"/>
          <w:szCs w:val="24"/>
        </w:rPr>
      </w:pPr>
    </w:p>
    <w:p w:rsidR="00BF1824" w:rsidRPr="007E714C" w:rsidRDefault="00BF1824" w:rsidP="007E714C">
      <w:pPr>
        <w:tabs>
          <w:tab w:val="left" w:pos="-3402"/>
        </w:tabs>
        <w:jc w:val="both"/>
        <w:rPr>
          <w:rFonts w:ascii="Times New Roman" w:hAnsi="Times New Roman"/>
          <w:szCs w:val="24"/>
        </w:rPr>
      </w:pPr>
      <w:r w:rsidRPr="007E714C">
        <w:rPr>
          <w:rFonts w:ascii="Times New Roman" w:hAnsi="Times New Roman"/>
          <w:szCs w:val="24"/>
        </w:rPr>
        <w:t xml:space="preserve">“3.4. </w:t>
      </w:r>
      <w:r w:rsidRPr="007E714C">
        <w:rPr>
          <w:rFonts w:ascii="Times New Roman" w:eastAsia="Calibri" w:hAnsi="Times New Roman"/>
          <w:szCs w:val="24"/>
        </w:rPr>
        <w:t xml:space="preserve">Tirgotāja Preces vienības cenā iekļauts Vienošanās izpildei nepieciešamās </w:t>
      </w:r>
      <w:r w:rsidRPr="007E714C">
        <w:rPr>
          <w:rFonts w:ascii="Times New Roman" w:hAnsi="Times New Roman"/>
          <w:bCs/>
          <w:color w:val="000000"/>
          <w:szCs w:val="24"/>
          <w:shd w:val="clear" w:color="auto" w:fill="FFFFFF"/>
        </w:rPr>
        <w:t>balansēšanas pakalpojuma izmaksas, dabasgāzes uzglabāšanas izmaksas un maksa par pārvades sistēmas pakalpojumu – pārvades jaudu</w:t>
      </w:r>
      <w:r w:rsidRPr="007E714C">
        <w:rPr>
          <w:rFonts w:ascii="Times New Roman" w:hAnsi="Times New Roman"/>
          <w:szCs w:val="24"/>
        </w:rPr>
        <w:t>”.</w:t>
      </w:r>
    </w:p>
    <w:p w:rsidR="00BF1824" w:rsidRPr="007E714C" w:rsidRDefault="00BF1824" w:rsidP="007E714C">
      <w:pPr>
        <w:tabs>
          <w:tab w:val="left" w:pos="-3402"/>
        </w:tabs>
        <w:jc w:val="both"/>
        <w:rPr>
          <w:rFonts w:ascii="Times New Roman" w:hAnsi="Times New Roman"/>
          <w:szCs w:val="24"/>
        </w:rPr>
      </w:pPr>
    </w:p>
    <w:p w:rsidR="00BF1824" w:rsidRPr="007E714C" w:rsidRDefault="00BF1824" w:rsidP="007E714C">
      <w:pPr>
        <w:tabs>
          <w:tab w:val="left" w:pos="-3402"/>
        </w:tabs>
        <w:jc w:val="both"/>
        <w:rPr>
          <w:rFonts w:ascii="Times New Roman" w:hAnsi="Times New Roman"/>
          <w:szCs w:val="24"/>
        </w:rPr>
      </w:pPr>
      <w:r w:rsidRPr="007E714C">
        <w:rPr>
          <w:rFonts w:ascii="Times New Roman" w:hAnsi="Times New Roman"/>
          <w:szCs w:val="24"/>
        </w:rPr>
        <w:t>Izteikt Vispārīgās vienošanās I un II daļas 3.5. punktu šādā redakcijā:</w:t>
      </w:r>
    </w:p>
    <w:p w:rsidR="00BF1824" w:rsidRPr="007E714C" w:rsidRDefault="00BF1824" w:rsidP="007E714C">
      <w:pPr>
        <w:tabs>
          <w:tab w:val="left" w:pos="-3402"/>
        </w:tabs>
        <w:jc w:val="both"/>
        <w:rPr>
          <w:rFonts w:ascii="Times New Roman" w:hAnsi="Times New Roman"/>
          <w:szCs w:val="24"/>
        </w:rPr>
      </w:pPr>
    </w:p>
    <w:p w:rsidR="00BF1824" w:rsidRDefault="00BF1824" w:rsidP="007E714C">
      <w:pPr>
        <w:tabs>
          <w:tab w:val="left" w:pos="-3402"/>
        </w:tabs>
        <w:jc w:val="both"/>
        <w:rPr>
          <w:rFonts w:ascii="Times New Roman" w:hAnsi="Times New Roman"/>
          <w:szCs w:val="24"/>
        </w:rPr>
      </w:pPr>
      <w:r w:rsidRPr="007E714C">
        <w:rPr>
          <w:rFonts w:ascii="Times New Roman" w:hAnsi="Times New Roman"/>
          <w:szCs w:val="24"/>
        </w:rPr>
        <w:t xml:space="preserve">“3.5. Tirgotāja Preces vienības cenā nav iekļautas </w:t>
      </w:r>
      <w:r w:rsidR="001E69BE" w:rsidRPr="007E714C">
        <w:rPr>
          <w:rFonts w:ascii="Times New Roman" w:hAnsi="Times New Roman"/>
          <w:bCs/>
          <w:color w:val="000000"/>
          <w:szCs w:val="24"/>
          <w:shd w:val="clear" w:color="auto" w:fill="FFFFFF"/>
        </w:rPr>
        <w:t>izmaksas par</w:t>
      </w:r>
      <w:r w:rsidR="001E69BE" w:rsidRPr="007E714C">
        <w:rPr>
          <w:rFonts w:ascii="Times New Roman" w:hAnsi="Times New Roman"/>
          <w:b/>
          <w:bCs/>
          <w:color w:val="000000"/>
          <w:szCs w:val="24"/>
          <w:shd w:val="clear" w:color="auto" w:fill="FFFFFF"/>
        </w:rPr>
        <w:t xml:space="preserve"> </w:t>
      </w:r>
      <w:r w:rsidR="001E69BE">
        <w:rPr>
          <w:rFonts w:ascii="Times New Roman" w:hAnsi="Times New Roman"/>
          <w:bCs/>
          <w:color w:val="000000"/>
          <w:szCs w:val="24"/>
          <w:shd w:val="clear" w:color="auto" w:fill="FFFFFF"/>
        </w:rPr>
        <w:t>sadales sistēmas pakalpojumiem, maksa par pārvades sistēmas pakalpojumu</w:t>
      </w:r>
      <w:r w:rsidR="001E69BE" w:rsidRPr="007E714C">
        <w:rPr>
          <w:rFonts w:ascii="Times New Roman" w:hAnsi="Times New Roman"/>
          <w:bCs/>
          <w:color w:val="000000"/>
          <w:szCs w:val="24"/>
          <w:shd w:val="clear" w:color="auto" w:fill="FFFFFF"/>
        </w:rPr>
        <w:t>– izejas punktu Latvijas lietotāju apgādei, akcīzes nodokli</w:t>
      </w:r>
      <w:r w:rsidRPr="007E714C">
        <w:rPr>
          <w:rFonts w:ascii="Times New Roman" w:hAnsi="Times New Roman"/>
          <w:szCs w:val="24"/>
        </w:rPr>
        <w:t xml:space="preserve">”. </w:t>
      </w:r>
    </w:p>
    <w:p w:rsidR="001E69BE" w:rsidRDefault="001E69BE" w:rsidP="007E714C">
      <w:pPr>
        <w:tabs>
          <w:tab w:val="left" w:pos="-3402"/>
        </w:tabs>
        <w:jc w:val="both"/>
        <w:rPr>
          <w:rFonts w:ascii="Times New Roman" w:hAnsi="Times New Roman"/>
          <w:szCs w:val="24"/>
        </w:rPr>
      </w:pPr>
    </w:p>
    <w:p w:rsidR="001E69BE" w:rsidRDefault="001E69BE" w:rsidP="007E714C">
      <w:pPr>
        <w:tabs>
          <w:tab w:val="left" w:pos="-3402"/>
        </w:tabs>
        <w:jc w:val="both"/>
        <w:rPr>
          <w:rFonts w:ascii="Times New Roman" w:hAnsi="Times New Roman"/>
          <w:szCs w:val="24"/>
        </w:rPr>
      </w:pPr>
      <w:r>
        <w:rPr>
          <w:rFonts w:ascii="Times New Roman" w:hAnsi="Times New Roman"/>
          <w:szCs w:val="24"/>
        </w:rPr>
        <w:t>Izteikt Vispārīgās vienošanās I un II daļas 3.6. punktu šādā redakcijā:</w:t>
      </w:r>
    </w:p>
    <w:p w:rsidR="001E69BE" w:rsidRDefault="001E69BE" w:rsidP="007E714C">
      <w:pPr>
        <w:tabs>
          <w:tab w:val="left" w:pos="-3402"/>
        </w:tabs>
        <w:jc w:val="both"/>
        <w:rPr>
          <w:rFonts w:ascii="Times New Roman" w:hAnsi="Times New Roman"/>
          <w:szCs w:val="24"/>
        </w:rPr>
      </w:pPr>
    </w:p>
    <w:p w:rsidR="001E69BE" w:rsidRPr="007E714C" w:rsidRDefault="001E69BE" w:rsidP="007E714C">
      <w:pPr>
        <w:tabs>
          <w:tab w:val="left" w:pos="-3402"/>
        </w:tabs>
        <w:jc w:val="both"/>
        <w:rPr>
          <w:rFonts w:ascii="Times New Roman" w:hAnsi="Times New Roman"/>
          <w:szCs w:val="24"/>
        </w:rPr>
      </w:pPr>
      <w:r>
        <w:rPr>
          <w:rFonts w:ascii="Times New Roman" w:hAnsi="Times New Roman"/>
          <w:szCs w:val="24"/>
        </w:rPr>
        <w:t xml:space="preserve">“3.6. </w:t>
      </w:r>
      <w:r w:rsidRPr="001E69BE">
        <w:rPr>
          <w:rFonts w:ascii="Times New Roman" w:hAnsi="Times New Roman"/>
          <w:szCs w:val="24"/>
        </w:rPr>
        <w:t>Papildus Lietotājs sam</w:t>
      </w:r>
      <w:r>
        <w:rPr>
          <w:rFonts w:ascii="Times New Roman" w:hAnsi="Times New Roman"/>
          <w:szCs w:val="24"/>
        </w:rPr>
        <w:t>aksā Tirgotājam akcīzes nodokli, pievienotās vērtības nodokli, kā arī par saņemtajiem sadales sistēmas pakalpojumiem un par pārvades sistēmas pakalpojumu – izejas punktu Latvijas lietotāju apgādei</w:t>
      </w:r>
      <w:r w:rsidRPr="001E69BE">
        <w:rPr>
          <w:rFonts w:ascii="Times New Roman" w:hAnsi="Times New Roman"/>
          <w:szCs w:val="24"/>
        </w:rPr>
        <w:t>.</w:t>
      </w:r>
      <w:r>
        <w:rPr>
          <w:rFonts w:ascii="Times New Roman" w:hAnsi="Times New Roman"/>
          <w:szCs w:val="24"/>
        </w:rPr>
        <w:t>”</w:t>
      </w:r>
    </w:p>
    <w:p w:rsidR="00BF1824" w:rsidRPr="007E714C" w:rsidRDefault="00BF1824" w:rsidP="007E714C">
      <w:pPr>
        <w:tabs>
          <w:tab w:val="left" w:pos="-3402"/>
        </w:tabs>
        <w:jc w:val="both"/>
        <w:rPr>
          <w:rFonts w:ascii="Times New Roman" w:hAnsi="Times New Roman"/>
          <w:szCs w:val="24"/>
        </w:rPr>
      </w:pPr>
    </w:p>
    <w:p w:rsidR="00BF1824" w:rsidRPr="007E714C" w:rsidRDefault="00BF1824" w:rsidP="007E714C">
      <w:pPr>
        <w:tabs>
          <w:tab w:val="left" w:pos="-3402"/>
        </w:tabs>
        <w:jc w:val="both"/>
        <w:rPr>
          <w:rFonts w:ascii="Times New Roman" w:hAnsi="Times New Roman"/>
          <w:szCs w:val="24"/>
        </w:rPr>
      </w:pPr>
      <w:r w:rsidRPr="007E714C">
        <w:rPr>
          <w:rFonts w:ascii="Times New Roman" w:hAnsi="Times New Roman"/>
          <w:szCs w:val="24"/>
        </w:rPr>
        <w:t>Izteikt Vispārīgās vienošanās I un II daļas pielikumā pievienoto Pieteikumu dalību cenu aptaujā šādā redakcijā:</w:t>
      </w:r>
    </w:p>
    <w:p w:rsidR="00BF1824" w:rsidRPr="007E714C" w:rsidRDefault="00BF1824" w:rsidP="007E714C">
      <w:pPr>
        <w:tabs>
          <w:tab w:val="left" w:pos="-3402"/>
        </w:tabs>
        <w:jc w:val="both"/>
        <w:rPr>
          <w:rFonts w:ascii="Times New Roman" w:hAnsi="Times New Roman"/>
          <w:szCs w:val="24"/>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000" w:firstRow="0" w:lastRow="0" w:firstColumn="0" w:lastColumn="0" w:noHBand="0" w:noVBand="0"/>
      </w:tblPr>
      <w:tblGrid>
        <w:gridCol w:w="2668"/>
        <w:gridCol w:w="1722"/>
        <w:gridCol w:w="4964"/>
      </w:tblGrid>
      <w:tr w:rsidR="00BF1824" w:rsidRPr="007E714C" w:rsidTr="00E26606">
        <w:trPr>
          <w:trHeight w:val="468"/>
          <w:jc w:val="center"/>
        </w:trPr>
        <w:tc>
          <w:tcPr>
            <w:tcW w:w="2668" w:type="dxa"/>
            <w:vMerge w:val="restart"/>
            <w:shd w:val="clear" w:color="auto" w:fill="auto"/>
            <w:vAlign w:val="center"/>
          </w:tcPr>
          <w:p w:rsidR="00BF1824" w:rsidRPr="007E714C" w:rsidRDefault="00BF1824" w:rsidP="007E714C">
            <w:pPr>
              <w:ind w:left="142"/>
              <w:jc w:val="center"/>
              <w:rPr>
                <w:rFonts w:ascii="Times New Roman" w:hAnsi="Times New Roman"/>
                <w:color w:val="000000"/>
                <w:szCs w:val="24"/>
                <w:u w:val="single"/>
                <w:shd w:val="clear" w:color="auto" w:fill="FFFFFF"/>
              </w:rPr>
            </w:pPr>
            <w:r w:rsidRPr="007E714C">
              <w:rPr>
                <w:rFonts w:ascii="Times New Roman" w:hAnsi="Times New Roman"/>
                <w:b/>
                <w:bCs/>
                <w:color w:val="000000"/>
                <w:szCs w:val="24"/>
                <w:u w:val="single"/>
                <w:shd w:val="clear" w:color="auto" w:fill="FFFFFF"/>
              </w:rPr>
              <w:t>Dabasgāzes  cena:</w:t>
            </w:r>
          </w:p>
          <w:p w:rsidR="00BF1824" w:rsidRPr="007E714C" w:rsidRDefault="00BF1824" w:rsidP="007E714C">
            <w:pPr>
              <w:ind w:left="142"/>
              <w:rPr>
                <w:rFonts w:ascii="Times New Roman" w:hAnsi="Times New Roman"/>
                <w:bCs/>
                <w:color w:val="000000"/>
                <w:szCs w:val="24"/>
                <w:shd w:val="clear" w:color="auto" w:fill="FFFFFF"/>
              </w:rPr>
            </w:pPr>
            <w:r w:rsidRPr="007E714C">
              <w:rPr>
                <w:rFonts w:ascii="Times New Roman" w:hAnsi="Times New Roman"/>
                <w:b/>
                <w:bCs/>
                <w:color w:val="000000"/>
                <w:szCs w:val="24"/>
                <w:shd w:val="clear" w:color="auto" w:fill="FFFFFF"/>
              </w:rPr>
              <w:t xml:space="preserve">Iekļaujot - </w:t>
            </w:r>
            <w:r w:rsidRPr="007E714C">
              <w:rPr>
                <w:rFonts w:ascii="Times New Roman" w:hAnsi="Times New Roman"/>
                <w:bCs/>
                <w:color w:val="000000"/>
                <w:szCs w:val="24"/>
                <w:shd w:val="clear" w:color="auto" w:fill="FFFFFF"/>
              </w:rPr>
              <w:t xml:space="preserve"> līguma izpildei nepieciešamā balansēšanas pakalpojuma izmaksas, dabasgāzes uzglabāšanas izmaksas un maksu par pārvades sistēmas pakalpojumu – pārvades jaudu.</w:t>
            </w:r>
          </w:p>
          <w:p w:rsidR="00BF1824" w:rsidRPr="007E714C" w:rsidRDefault="00BF1824" w:rsidP="007E714C">
            <w:pPr>
              <w:ind w:left="142"/>
              <w:rPr>
                <w:rFonts w:ascii="Times New Roman" w:hAnsi="Times New Roman"/>
                <w:b/>
                <w:bCs/>
                <w:color w:val="000000"/>
                <w:szCs w:val="24"/>
                <w:shd w:val="clear" w:color="auto" w:fill="FFFFFF"/>
              </w:rPr>
            </w:pPr>
          </w:p>
          <w:p w:rsidR="00BF1824" w:rsidRPr="007E714C" w:rsidRDefault="00BF1824" w:rsidP="007E714C">
            <w:pPr>
              <w:ind w:left="142"/>
              <w:rPr>
                <w:rFonts w:ascii="Times New Roman" w:hAnsi="Times New Roman"/>
                <w:color w:val="000000"/>
                <w:szCs w:val="24"/>
                <w:shd w:val="clear" w:color="auto" w:fill="FFFFFF"/>
              </w:rPr>
            </w:pPr>
            <w:r w:rsidRPr="007E714C">
              <w:rPr>
                <w:rFonts w:ascii="Times New Roman" w:hAnsi="Times New Roman"/>
                <w:b/>
                <w:bCs/>
                <w:color w:val="000000"/>
                <w:szCs w:val="24"/>
                <w:shd w:val="clear" w:color="auto" w:fill="FFFFFF"/>
              </w:rPr>
              <w:t xml:space="preserve">Neiekļaujot - </w:t>
            </w:r>
            <w:r w:rsidRPr="007E714C">
              <w:rPr>
                <w:rFonts w:ascii="Times New Roman" w:hAnsi="Times New Roman"/>
                <w:bCs/>
                <w:color w:val="000000"/>
                <w:szCs w:val="24"/>
                <w:shd w:val="clear" w:color="auto" w:fill="FFFFFF"/>
              </w:rPr>
              <w:t xml:space="preserve"> izmaksas par</w:t>
            </w:r>
            <w:r w:rsidRPr="007E714C">
              <w:rPr>
                <w:rFonts w:ascii="Times New Roman" w:hAnsi="Times New Roman"/>
                <w:b/>
                <w:bCs/>
                <w:color w:val="000000"/>
                <w:szCs w:val="24"/>
                <w:shd w:val="clear" w:color="auto" w:fill="FFFFFF"/>
              </w:rPr>
              <w:t xml:space="preserve"> </w:t>
            </w:r>
            <w:r w:rsidRPr="007E714C">
              <w:rPr>
                <w:rFonts w:ascii="Times New Roman" w:hAnsi="Times New Roman"/>
                <w:bCs/>
                <w:color w:val="000000"/>
                <w:szCs w:val="24"/>
                <w:shd w:val="clear" w:color="auto" w:fill="FFFFFF"/>
              </w:rPr>
              <w:t xml:space="preserve">sadales sistēmas pakalpojumiem </w:t>
            </w:r>
            <w:r w:rsidR="001E69BE">
              <w:rPr>
                <w:rFonts w:ascii="Times New Roman" w:hAnsi="Times New Roman"/>
                <w:bCs/>
                <w:color w:val="000000"/>
                <w:szCs w:val="24"/>
                <w:shd w:val="clear" w:color="auto" w:fill="FFFFFF"/>
              </w:rPr>
              <w:t>, maksu par pārvades sistēmas pakalpojumu</w:t>
            </w:r>
            <w:r w:rsidRPr="007E714C">
              <w:rPr>
                <w:rFonts w:ascii="Times New Roman" w:hAnsi="Times New Roman"/>
                <w:bCs/>
                <w:color w:val="000000"/>
                <w:szCs w:val="24"/>
                <w:shd w:val="clear" w:color="auto" w:fill="FFFFFF"/>
              </w:rPr>
              <w:t>– izejas punktu Latvijas lietotāju apgādei, akcīzes nodokli.</w:t>
            </w:r>
          </w:p>
          <w:p w:rsidR="00BF1824" w:rsidRPr="007E714C" w:rsidRDefault="00BF1824" w:rsidP="007E714C">
            <w:pPr>
              <w:jc w:val="center"/>
              <w:rPr>
                <w:rFonts w:ascii="Times New Roman" w:hAnsi="Times New Roman"/>
                <w:b/>
                <w:szCs w:val="24"/>
              </w:rPr>
            </w:pPr>
          </w:p>
        </w:tc>
        <w:tc>
          <w:tcPr>
            <w:tcW w:w="1722" w:type="dxa"/>
            <w:vAlign w:val="center"/>
          </w:tcPr>
          <w:p w:rsidR="00BF1824" w:rsidRPr="007E714C" w:rsidRDefault="00BF1824" w:rsidP="007E714C">
            <w:pPr>
              <w:ind w:left="158"/>
              <w:jc w:val="center"/>
              <w:rPr>
                <w:rFonts w:ascii="Times New Roman" w:hAnsi="Times New Roman"/>
                <w:b/>
                <w:szCs w:val="24"/>
              </w:rPr>
            </w:pPr>
            <w:r w:rsidRPr="007E714C">
              <w:rPr>
                <w:rFonts w:ascii="Times New Roman" w:hAnsi="Times New Roman"/>
                <w:b/>
                <w:szCs w:val="24"/>
              </w:rPr>
              <w:t>Mērvienība</w:t>
            </w:r>
          </w:p>
        </w:tc>
        <w:tc>
          <w:tcPr>
            <w:tcW w:w="4964" w:type="dxa"/>
          </w:tcPr>
          <w:p w:rsidR="00BF1824" w:rsidRPr="007E714C" w:rsidRDefault="00BF1824" w:rsidP="007E714C">
            <w:pPr>
              <w:jc w:val="center"/>
              <w:rPr>
                <w:rFonts w:ascii="Times New Roman" w:hAnsi="Times New Roman"/>
                <w:b/>
                <w:szCs w:val="24"/>
              </w:rPr>
            </w:pPr>
            <w:r w:rsidRPr="007E714C">
              <w:rPr>
                <w:rFonts w:ascii="Times New Roman" w:hAnsi="Times New Roman"/>
                <w:b/>
                <w:szCs w:val="24"/>
              </w:rPr>
              <w:t>EUR, bez PVN</w:t>
            </w:r>
          </w:p>
        </w:tc>
      </w:tr>
      <w:tr w:rsidR="00BF1824" w:rsidRPr="007E714C" w:rsidTr="00E26606">
        <w:trPr>
          <w:trHeight w:val="946"/>
          <w:jc w:val="center"/>
        </w:trPr>
        <w:tc>
          <w:tcPr>
            <w:tcW w:w="2668" w:type="dxa"/>
            <w:vMerge/>
            <w:shd w:val="clear" w:color="auto" w:fill="auto"/>
            <w:vAlign w:val="center"/>
          </w:tcPr>
          <w:p w:rsidR="00BF1824" w:rsidRPr="007E714C" w:rsidRDefault="00BF1824" w:rsidP="007E714C">
            <w:pPr>
              <w:jc w:val="center"/>
              <w:rPr>
                <w:rFonts w:ascii="Times New Roman" w:hAnsi="Times New Roman"/>
                <w:b/>
                <w:szCs w:val="24"/>
              </w:rPr>
            </w:pPr>
          </w:p>
        </w:tc>
        <w:tc>
          <w:tcPr>
            <w:tcW w:w="1722" w:type="dxa"/>
            <w:vAlign w:val="center"/>
          </w:tcPr>
          <w:p w:rsidR="00BF1824" w:rsidRPr="007E714C" w:rsidRDefault="00BF1824" w:rsidP="007E714C">
            <w:pPr>
              <w:jc w:val="center"/>
              <w:rPr>
                <w:rFonts w:ascii="Times New Roman" w:hAnsi="Times New Roman"/>
                <w:szCs w:val="24"/>
              </w:rPr>
            </w:pPr>
            <w:r w:rsidRPr="007E714C">
              <w:rPr>
                <w:rFonts w:ascii="Times New Roman" w:hAnsi="Times New Roman"/>
                <w:szCs w:val="24"/>
              </w:rPr>
              <w:t>1 kWh</w:t>
            </w:r>
          </w:p>
        </w:tc>
        <w:tc>
          <w:tcPr>
            <w:tcW w:w="4964" w:type="dxa"/>
            <w:shd w:val="clear" w:color="auto" w:fill="auto"/>
          </w:tcPr>
          <w:p w:rsidR="00BF1824" w:rsidRPr="007E714C" w:rsidRDefault="00BF1824" w:rsidP="007E714C">
            <w:pPr>
              <w:rPr>
                <w:b/>
                <w:szCs w:val="24"/>
              </w:rPr>
            </w:pPr>
          </w:p>
        </w:tc>
      </w:tr>
    </w:tbl>
    <w:p w:rsidR="006D4E0B" w:rsidRDefault="006D4E0B" w:rsidP="006D4E0B">
      <w:pPr>
        <w:pStyle w:val="ListParagraph"/>
        <w:rPr>
          <w:rFonts w:ascii="Times New Roman" w:hAnsi="Times New Roman"/>
          <w:b/>
          <w:sz w:val="24"/>
          <w:szCs w:val="24"/>
        </w:rPr>
      </w:pPr>
    </w:p>
    <w:p w:rsidR="0015344D" w:rsidRDefault="0015344D" w:rsidP="007E714C">
      <w:pPr>
        <w:pStyle w:val="ListParagraph"/>
        <w:numPr>
          <w:ilvl w:val="0"/>
          <w:numId w:val="23"/>
        </w:numPr>
        <w:rPr>
          <w:rFonts w:ascii="Times New Roman" w:hAnsi="Times New Roman"/>
          <w:b/>
          <w:sz w:val="24"/>
          <w:szCs w:val="24"/>
        </w:rPr>
      </w:pPr>
      <w:r w:rsidRPr="007E714C">
        <w:rPr>
          <w:rFonts w:ascii="Times New Roman" w:hAnsi="Times New Roman"/>
          <w:b/>
          <w:sz w:val="24"/>
          <w:szCs w:val="24"/>
        </w:rPr>
        <w:t>Jautājums:</w:t>
      </w:r>
    </w:p>
    <w:p w:rsidR="00282214" w:rsidRPr="007E714C" w:rsidRDefault="00282214" w:rsidP="00282214">
      <w:pPr>
        <w:pStyle w:val="ListParagraph"/>
        <w:rPr>
          <w:rFonts w:ascii="Times New Roman" w:hAnsi="Times New Roman"/>
          <w:b/>
          <w:sz w:val="24"/>
          <w:szCs w:val="24"/>
        </w:rPr>
      </w:pPr>
    </w:p>
    <w:p w:rsidR="0015344D" w:rsidRPr="007E714C" w:rsidRDefault="0015344D" w:rsidP="007E714C">
      <w:pPr>
        <w:ind w:firstLine="720"/>
        <w:jc w:val="both"/>
        <w:rPr>
          <w:rFonts w:ascii="Times New Roman" w:hAnsi="Times New Roman"/>
          <w:szCs w:val="24"/>
        </w:rPr>
      </w:pPr>
      <w:r w:rsidRPr="00282214">
        <w:rPr>
          <w:rFonts w:ascii="Times New Roman" w:hAnsi="Times New Roman"/>
          <w:szCs w:val="24"/>
        </w:rPr>
        <w:t xml:space="preserve"> [2] Nolikumam pievienotās Vispārīgās Vienošanās (I daļa) un Vispārīgās Vienošanās (II daļa) 4.12.punktā ir noteikts, ka </w:t>
      </w:r>
      <w:r w:rsidRPr="00282214">
        <w:rPr>
          <w:rFonts w:ascii="Times New Roman" w:hAnsi="Times New Roman"/>
          <w:i/>
          <w:szCs w:val="24"/>
        </w:rPr>
        <w:t>“Līguma pieteikums tiek parakstīts no Lietotāja puses tikai pēc tam, kad Tirgotājs ir iesniedzis Līguma izpildes nodrošinājumu”.</w:t>
      </w:r>
      <w:r w:rsidRPr="00282214">
        <w:rPr>
          <w:rFonts w:ascii="Times New Roman" w:hAnsi="Times New Roman"/>
          <w:szCs w:val="24"/>
        </w:rPr>
        <w:t xml:space="preserve"> Vispārīgās Vienošanās (I daļa) 10.14.punktā minēts, ka Vispārīgās vienošanās (I daļa) pielikumā ir pievienots līguma izpildes bankas garantijas paraugs, kā arī pirmā pieprasījuma beznosacījumu līguma izpildes nodrošināšanas polises paraugs. Vēršam Pasūtītāja uzmanību, ka Nolikumā un tam pievienotajos dokumentos nav atrodamas prasības, kādām jāatbilst pretendentu iesniegtajiem līguma izpildes nodrošinājumiem gadījumos, kad saskaņā ar Vispārīgās vienošanās prasībām šī garantija būtu jāiesniedz. Ievērojot minēto, lūdzam papildināt Nolikumu ar skaidrojumu, kāda satura līguma </w:t>
      </w:r>
      <w:r w:rsidRPr="00282214">
        <w:rPr>
          <w:rFonts w:ascii="Times New Roman" w:hAnsi="Times New Roman"/>
          <w:szCs w:val="24"/>
        </w:rPr>
        <w:lastRenderedPageBreak/>
        <w:t>izpildes garantija un par kāda apmēra summu pretendentiem būtu jāiesniedz Vispārīgās Vienošanās (I daļa) un Vispārīgās Vienošanās (II daļa) 4.12.punktā paredzētajā gadījumā.</w:t>
      </w:r>
    </w:p>
    <w:p w:rsidR="00BF1824" w:rsidRPr="007E714C" w:rsidRDefault="00BF1824" w:rsidP="007E714C">
      <w:pPr>
        <w:tabs>
          <w:tab w:val="left" w:pos="-3402"/>
        </w:tabs>
        <w:jc w:val="both"/>
        <w:rPr>
          <w:rFonts w:ascii="Times New Roman" w:hAnsi="Times New Roman"/>
          <w:szCs w:val="24"/>
        </w:rPr>
      </w:pPr>
    </w:p>
    <w:p w:rsidR="00BF1824" w:rsidRPr="007E714C" w:rsidRDefault="00BF1824" w:rsidP="003D2AFF">
      <w:pPr>
        <w:pStyle w:val="ListParagraph"/>
        <w:numPr>
          <w:ilvl w:val="0"/>
          <w:numId w:val="24"/>
        </w:numPr>
        <w:tabs>
          <w:tab w:val="left" w:pos="426"/>
        </w:tabs>
        <w:jc w:val="both"/>
        <w:rPr>
          <w:rFonts w:ascii="Times New Roman" w:hAnsi="Times New Roman"/>
          <w:b/>
          <w:sz w:val="24"/>
          <w:szCs w:val="24"/>
        </w:rPr>
      </w:pPr>
      <w:r w:rsidRPr="007E714C">
        <w:rPr>
          <w:rFonts w:ascii="Times New Roman" w:hAnsi="Times New Roman"/>
          <w:b/>
          <w:sz w:val="24"/>
          <w:szCs w:val="24"/>
        </w:rPr>
        <w:t>Atbilde:</w:t>
      </w:r>
    </w:p>
    <w:p w:rsidR="00BF1824" w:rsidRPr="007E714C" w:rsidRDefault="00BF1824" w:rsidP="007E714C">
      <w:pPr>
        <w:tabs>
          <w:tab w:val="left" w:pos="-3402"/>
        </w:tabs>
        <w:jc w:val="both"/>
        <w:rPr>
          <w:rFonts w:ascii="Times New Roman" w:hAnsi="Times New Roman"/>
          <w:szCs w:val="24"/>
          <w:highlight w:val="yellow"/>
        </w:rPr>
      </w:pPr>
    </w:p>
    <w:p w:rsidR="00BF1824" w:rsidRPr="007E714C" w:rsidRDefault="00CA170A" w:rsidP="007E714C">
      <w:pPr>
        <w:tabs>
          <w:tab w:val="left" w:pos="-3402"/>
        </w:tabs>
        <w:jc w:val="both"/>
        <w:rPr>
          <w:rFonts w:ascii="Times New Roman" w:hAnsi="Times New Roman"/>
          <w:szCs w:val="24"/>
        </w:rPr>
      </w:pPr>
      <w:r w:rsidRPr="007E714C">
        <w:rPr>
          <w:rFonts w:ascii="Times New Roman" w:hAnsi="Times New Roman"/>
          <w:szCs w:val="24"/>
        </w:rPr>
        <w:t xml:space="preserve">Izslēgt no Vispārīgas vienošanās I un II daļas </w:t>
      </w:r>
      <w:r w:rsidR="00C5612C" w:rsidRPr="007E714C">
        <w:rPr>
          <w:rFonts w:ascii="Times New Roman" w:hAnsi="Times New Roman"/>
          <w:szCs w:val="24"/>
        </w:rPr>
        <w:t>4.12.punkta vārdus “Līguma pieteikums tiek parakstīts no Lietotāja puses tikai pēc tam, kad Tirgotājs ir iesniedzis Līguma izpildes nodrošinājumu”.</w:t>
      </w:r>
    </w:p>
    <w:p w:rsidR="00C5612C" w:rsidRPr="007E714C" w:rsidRDefault="00C5612C" w:rsidP="007E714C">
      <w:pPr>
        <w:tabs>
          <w:tab w:val="left" w:pos="-3402"/>
        </w:tabs>
        <w:jc w:val="both"/>
        <w:rPr>
          <w:rFonts w:ascii="Times New Roman" w:hAnsi="Times New Roman"/>
          <w:szCs w:val="24"/>
        </w:rPr>
      </w:pPr>
    </w:p>
    <w:p w:rsidR="00C5612C" w:rsidRPr="007E714C" w:rsidRDefault="00C5612C" w:rsidP="007E714C">
      <w:pPr>
        <w:tabs>
          <w:tab w:val="left" w:pos="-3402"/>
        </w:tabs>
        <w:jc w:val="both"/>
        <w:rPr>
          <w:rFonts w:ascii="Times New Roman" w:hAnsi="Times New Roman"/>
          <w:szCs w:val="24"/>
        </w:rPr>
      </w:pPr>
      <w:r w:rsidRPr="007E714C">
        <w:rPr>
          <w:rFonts w:ascii="Times New Roman" w:hAnsi="Times New Roman"/>
          <w:szCs w:val="24"/>
        </w:rPr>
        <w:t xml:space="preserve">Izslēgt no Vispārīgās vienošanās I daļas 10.14.punkta </w:t>
      </w:r>
      <w:r w:rsidR="0015344D" w:rsidRPr="007E714C">
        <w:rPr>
          <w:rFonts w:ascii="Times New Roman" w:hAnsi="Times New Roman"/>
          <w:szCs w:val="24"/>
        </w:rPr>
        <w:t xml:space="preserve">vārdus “Pielikums Nr.5 – līguma izpildes bankas garantijas paraugs, uz 1 (vienas) lapas” un “Pielikums Nr.6 – pirmā pieprasījuma beznosacījumu līguma izpildes apdrošināšanas polises paraugs, uz 2 (divām) lapām”. </w:t>
      </w:r>
    </w:p>
    <w:p w:rsidR="0015344D" w:rsidRPr="007E714C" w:rsidRDefault="0015344D" w:rsidP="007E714C">
      <w:pPr>
        <w:tabs>
          <w:tab w:val="left" w:pos="-3402"/>
        </w:tabs>
        <w:jc w:val="both"/>
        <w:rPr>
          <w:rFonts w:ascii="Times New Roman" w:hAnsi="Times New Roman"/>
          <w:szCs w:val="24"/>
        </w:rPr>
      </w:pPr>
    </w:p>
    <w:p w:rsidR="00987666" w:rsidRPr="007E714C" w:rsidRDefault="00987666" w:rsidP="007E714C">
      <w:pPr>
        <w:tabs>
          <w:tab w:val="left" w:pos="-3402"/>
        </w:tabs>
        <w:jc w:val="both"/>
        <w:rPr>
          <w:rFonts w:ascii="Times New Roman" w:hAnsi="Times New Roman"/>
          <w:szCs w:val="24"/>
        </w:rPr>
      </w:pPr>
    </w:p>
    <w:p w:rsidR="00CA0A99" w:rsidRDefault="00987666" w:rsidP="007E714C">
      <w:pPr>
        <w:tabs>
          <w:tab w:val="left" w:pos="-3402"/>
        </w:tabs>
        <w:jc w:val="both"/>
        <w:rPr>
          <w:rFonts w:ascii="Times New Roman" w:hAnsi="Times New Roman"/>
          <w:szCs w:val="24"/>
        </w:rPr>
      </w:pPr>
      <w:r w:rsidRPr="007E714C">
        <w:rPr>
          <w:rFonts w:ascii="Times New Roman" w:hAnsi="Times New Roman"/>
          <w:szCs w:val="24"/>
        </w:rPr>
        <w:tab/>
        <w:t>Ņemot vērā, ka iepirkuma procedūras dokumentos ir veikti grozījumi, iepirkuma komisija nolemj pagarināt p</w:t>
      </w:r>
      <w:r w:rsidR="00CA0A99">
        <w:rPr>
          <w:rFonts w:ascii="Times New Roman" w:hAnsi="Times New Roman"/>
          <w:szCs w:val="24"/>
        </w:rPr>
        <w:t>iedāvājumu iesniegšanas termiņu</w:t>
      </w:r>
      <w:r w:rsidRPr="007E714C">
        <w:rPr>
          <w:rFonts w:ascii="Times New Roman" w:hAnsi="Times New Roman"/>
          <w:szCs w:val="24"/>
        </w:rPr>
        <w:t xml:space="preserve"> </w:t>
      </w:r>
      <w:r w:rsidR="009A15AC">
        <w:rPr>
          <w:rFonts w:ascii="Times New Roman" w:hAnsi="Times New Roman"/>
          <w:szCs w:val="24"/>
        </w:rPr>
        <w:t xml:space="preserve">līdz 2019.gada 04.februārim plkst. 14.00, </w:t>
      </w:r>
      <w:r w:rsidRPr="007E714C">
        <w:rPr>
          <w:rFonts w:ascii="Times New Roman" w:hAnsi="Times New Roman"/>
          <w:szCs w:val="24"/>
        </w:rPr>
        <w:t>publicējot paziņojumu par izmaiņām Iepirkumu uzraudzības biroja tīmekļa vietnē</w:t>
      </w:r>
      <w:r w:rsidR="00CA0A99">
        <w:rPr>
          <w:rFonts w:ascii="Times New Roman" w:hAnsi="Times New Roman"/>
          <w:szCs w:val="24"/>
        </w:rPr>
        <w:t>.</w:t>
      </w:r>
    </w:p>
    <w:p w:rsidR="0015344D" w:rsidRPr="007E714C" w:rsidRDefault="00987666" w:rsidP="007E714C">
      <w:pPr>
        <w:tabs>
          <w:tab w:val="left" w:pos="-3402"/>
        </w:tabs>
        <w:jc w:val="both"/>
        <w:rPr>
          <w:rFonts w:ascii="Times New Roman" w:hAnsi="Times New Roman"/>
          <w:szCs w:val="24"/>
        </w:rPr>
      </w:pPr>
      <w:r w:rsidRPr="007E714C">
        <w:rPr>
          <w:rFonts w:ascii="Times New Roman" w:hAnsi="Times New Roman"/>
          <w:szCs w:val="24"/>
        </w:rPr>
        <w:tab/>
        <w:t>Atklāta konkursa nolikuma 4.1. punktā aizstāt skaitļus un vārdu „2019.gada 23.janvāris plks</w:t>
      </w:r>
      <w:r w:rsidR="0051656D">
        <w:rPr>
          <w:rFonts w:ascii="Times New Roman" w:hAnsi="Times New Roman"/>
          <w:szCs w:val="24"/>
        </w:rPr>
        <w:t>t.14.00” ar skaitļiem un vārdu “</w:t>
      </w:r>
      <w:r w:rsidR="00CA0A99">
        <w:rPr>
          <w:rFonts w:ascii="Times New Roman" w:hAnsi="Times New Roman"/>
          <w:szCs w:val="24"/>
        </w:rPr>
        <w:t>2019.</w:t>
      </w:r>
      <w:r w:rsidR="00CA0A99" w:rsidRPr="00CA0A99">
        <w:rPr>
          <w:rFonts w:ascii="Times New Roman" w:hAnsi="Times New Roman"/>
          <w:szCs w:val="24"/>
        </w:rPr>
        <w:t xml:space="preserve">gada </w:t>
      </w:r>
      <w:r w:rsidR="009A15AC" w:rsidRPr="00CA0A99">
        <w:rPr>
          <w:rFonts w:ascii="Times New Roman" w:hAnsi="Times New Roman"/>
          <w:szCs w:val="24"/>
        </w:rPr>
        <w:t>04</w:t>
      </w:r>
      <w:r w:rsidR="0051656D" w:rsidRPr="00CA0A99">
        <w:rPr>
          <w:rFonts w:ascii="Times New Roman" w:hAnsi="Times New Roman"/>
          <w:szCs w:val="24"/>
        </w:rPr>
        <w:t>.februāris plkst.14</w:t>
      </w:r>
      <w:r w:rsidRPr="00CA0A99">
        <w:rPr>
          <w:rFonts w:ascii="Times New Roman" w:hAnsi="Times New Roman"/>
          <w:szCs w:val="24"/>
        </w:rPr>
        <w:t>.00</w:t>
      </w:r>
      <w:r w:rsidRPr="007E714C">
        <w:rPr>
          <w:rFonts w:ascii="Times New Roman" w:hAnsi="Times New Roman"/>
          <w:szCs w:val="24"/>
        </w:rPr>
        <w:t>” attiecīgajā locījumā.</w:t>
      </w:r>
    </w:p>
    <w:sectPr w:rsidR="0015344D" w:rsidRPr="007E714C" w:rsidSect="00282214">
      <w:footerReference w:type="even" r:id="rId8"/>
      <w:footerReference w:type="default" r:id="rId9"/>
      <w:pgSz w:w="11906" w:h="16838"/>
      <w:pgMar w:top="709" w:right="991" w:bottom="1135" w:left="1701" w:header="36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52" w:rsidRDefault="00B00C52">
      <w:r>
        <w:separator/>
      </w:r>
    </w:p>
  </w:endnote>
  <w:endnote w:type="continuationSeparator" w:id="0">
    <w:p w:rsidR="00B00C52" w:rsidRDefault="00B0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altName w:val="Latvju Raksti B TL"/>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3F0" w:rsidRDefault="00CC4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092114"/>
      <w:docPartObj>
        <w:docPartGallery w:val="Page Numbers (Bottom of Page)"/>
        <w:docPartUnique/>
      </w:docPartObj>
    </w:sdtPr>
    <w:sdtEndPr>
      <w:rPr>
        <w:noProof/>
      </w:rPr>
    </w:sdtEndPr>
    <w:sdtContent>
      <w:p w:rsidR="00BF1824" w:rsidRDefault="00BF1824">
        <w:pPr>
          <w:pStyle w:val="Footer"/>
          <w:jc w:val="right"/>
        </w:pPr>
        <w:r>
          <w:fldChar w:fldCharType="begin"/>
        </w:r>
        <w:r>
          <w:instrText xml:space="preserve"> PAGE   \* MERGEFORMAT </w:instrText>
        </w:r>
        <w:r>
          <w:fldChar w:fldCharType="separate"/>
        </w:r>
        <w:r w:rsidR="00F32654">
          <w:rPr>
            <w:noProof/>
          </w:rPr>
          <w:t>2</w:t>
        </w:r>
        <w:r>
          <w:rPr>
            <w:noProof/>
          </w:rPr>
          <w:fldChar w:fldCharType="end"/>
        </w:r>
      </w:p>
    </w:sdtContent>
  </w:sdt>
  <w:p w:rsidR="00CC43F0" w:rsidRPr="00B06BFD" w:rsidRDefault="00CC43F0">
    <w:pPr>
      <w:pStyle w:val="Footer"/>
      <w:rPr>
        <w:rFonts w:ascii="Times New Roman" w:hAnsi="Times New Roman"/>
        <w:bCs/>
        <w:color w:val="0000FF"/>
        <w:sz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52" w:rsidRDefault="00B00C52">
      <w:r>
        <w:separator/>
      </w:r>
    </w:p>
  </w:footnote>
  <w:footnote w:type="continuationSeparator" w:id="0">
    <w:p w:rsidR="00B00C52" w:rsidRDefault="00B0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84B51B5"/>
    <w:multiLevelType w:val="hybridMultilevel"/>
    <w:tmpl w:val="8F5416AC"/>
    <w:lvl w:ilvl="0" w:tplc="75A22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39C7585"/>
    <w:multiLevelType w:val="hybridMultilevel"/>
    <w:tmpl w:val="96E8E6C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6" w15:restartNumberingAfterBreak="0">
    <w:nsid w:val="1BDD303F"/>
    <w:multiLevelType w:val="hybridMultilevel"/>
    <w:tmpl w:val="62D2A6EE"/>
    <w:lvl w:ilvl="0" w:tplc="B48037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376926"/>
    <w:multiLevelType w:val="hybridMultilevel"/>
    <w:tmpl w:val="C192B136"/>
    <w:lvl w:ilvl="0" w:tplc="B48037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791EA4"/>
    <w:multiLevelType w:val="hybridMultilevel"/>
    <w:tmpl w:val="040466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D15436"/>
    <w:multiLevelType w:val="hybridMultilevel"/>
    <w:tmpl w:val="8BCEC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CC566E"/>
    <w:multiLevelType w:val="hybridMultilevel"/>
    <w:tmpl w:val="DCB83C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B7287"/>
    <w:multiLevelType w:val="hybridMultilevel"/>
    <w:tmpl w:val="7A34A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3F12922"/>
    <w:multiLevelType w:val="hybridMultilevel"/>
    <w:tmpl w:val="6DC81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18" w15:restartNumberingAfterBreak="0">
    <w:nsid w:val="50575844"/>
    <w:multiLevelType w:val="hybridMultilevel"/>
    <w:tmpl w:val="4488833A"/>
    <w:lvl w:ilvl="0" w:tplc="C1AC71EE">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6B1EBE"/>
    <w:multiLevelType w:val="hybridMultilevel"/>
    <w:tmpl w:val="401CED8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5DB6BCA"/>
    <w:multiLevelType w:val="hybridMultilevel"/>
    <w:tmpl w:val="F35483CA"/>
    <w:lvl w:ilvl="0" w:tplc="F470FB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9236C0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5" w15:restartNumberingAfterBreak="0">
    <w:nsid w:val="775C5E39"/>
    <w:multiLevelType w:val="multilevel"/>
    <w:tmpl w:val="32E0487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571"/>
        </w:tabs>
        <w:ind w:left="1571" w:hanging="720"/>
      </w:pPr>
      <w:rPr>
        <w:rFonts w:cs="Times New Roman" w:hint="default"/>
        <w:b w:val="0"/>
      </w:rPr>
    </w:lvl>
    <w:lvl w:ilvl="3">
      <w:start w:val="1"/>
      <w:numFmt w:val="decimal"/>
      <w:isLgl/>
      <w:lvlText w:val="%1.%2.%3.%4."/>
      <w:lvlJc w:val="left"/>
      <w:pPr>
        <w:tabs>
          <w:tab w:val="num" w:pos="1713"/>
        </w:tabs>
        <w:ind w:left="1713"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5"/>
  </w:num>
  <w:num w:numId="3">
    <w:abstractNumId w:val="15"/>
  </w:num>
  <w:num w:numId="4">
    <w:abstractNumId w:val="23"/>
  </w:num>
  <w:num w:numId="5">
    <w:abstractNumId w:val="19"/>
  </w:num>
  <w:num w:numId="6">
    <w:abstractNumId w:val="7"/>
  </w:num>
  <w:num w:numId="7">
    <w:abstractNumId w:val="21"/>
  </w:num>
  <w:num w:numId="8">
    <w:abstractNumId w:val="2"/>
  </w:num>
  <w:num w:numId="9">
    <w:abstractNumId w:val="1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22"/>
  </w:num>
  <w:num w:numId="14">
    <w:abstractNumId w:val="4"/>
  </w:num>
  <w:num w:numId="15">
    <w:abstractNumId w:val="16"/>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3"/>
  </w:num>
  <w:num w:numId="23">
    <w:abstractNumId w:val="1"/>
  </w:num>
  <w:num w:numId="24">
    <w:abstractNumId w:val="6"/>
  </w:num>
  <w:num w:numId="25">
    <w:abstractNumId w:val="25"/>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6"/>
    <w:rsid w:val="00016AFF"/>
    <w:rsid w:val="00017DED"/>
    <w:rsid w:val="00025E10"/>
    <w:rsid w:val="000308A6"/>
    <w:rsid w:val="000339BC"/>
    <w:rsid w:val="00046F9D"/>
    <w:rsid w:val="00050FD5"/>
    <w:rsid w:val="00057BEE"/>
    <w:rsid w:val="0007200C"/>
    <w:rsid w:val="000747DD"/>
    <w:rsid w:val="000808EE"/>
    <w:rsid w:val="00081C70"/>
    <w:rsid w:val="0009475B"/>
    <w:rsid w:val="00094C15"/>
    <w:rsid w:val="000A1985"/>
    <w:rsid w:val="000A522B"/>
    <w:rsid w:val="000B7A34"/>
    <w:rsid w:val="000C3CE8"/>
    <w:rsid w:val="000C43CE"/>
    <w:rsid w:val="000C575C"/>
    <w:rsid w:val="000C781E"/>
    <w:rsid w:val="000D06E0"/>
    <w:rsid w:val="000E1111"/>
    <w:rsid w:val="000E245C"/>
    <w:rsid w:val="000E527E"/>
    <w:rsid w:val="00101F96"/>
    <w:rsid w:val="00104785"/>
    <w:rsid w:val="0010707F"/>
    <w:rsid w:val="001133AF"/>
    <w:rsid w:val="00121134"/>
    <w:rsid w:val="00126CA4"/>
    <w:rsid w:val="00133D56"/>
    <w:rsid w:val="0014257A"/>
    <w:rsid w:val="00142594"/>
    <w:rsid w:val="00142D3B"/>
    <w:rsid w:val="001523FF"/>
    <w:rsid w:val="0015344D"/>
    <w:rsid w:val="00160097"/>
    <w:rsid w:val="001631B2"/>
    <w:rsid w:val="00167778"/>
    <w:rsid w:val="00182F10"/>
    <w:rsid w:val="00184552"/>
    <w:rsid w:val="00190363"/>
    <w:rsid w:val="001A04C7"/>
    <w:rsid w:val="001A054C"/>
    <w:rsid w:val="001A23E9"/>
    <w:rsid w:val="001A4B90"/>
    <w:rsid w:val="001A5E25"/>
    <w:rsid w:val="001B1268"/>
    <w:rsid w:val="001B17DC"/>
    <w:rsid w:val="001B4511"/>
    <w:rsid w:val="001C35CF"/>
    <w:rsid w:val="001C4BB8"/>
    <w:rsid w:val="001C62FC"/>
    <w:rsid w:val="001D37CC"/>
    <w:rsid w:val="001E43FD"/>
    <w:rsid w:val="001E69BE"/>
    <w:rsid w:val="001F0E1D"/>
    <w:rsid w:val="001F47B0"/>
    <w:rsid w:val="001F635B"/>
    <w:rsid w:val="0020164C"/>
    <w:rsid w:val="002078D9"/>
    <w:rsid w:val="00212FB7"/>
    <w:rsid w:val="00214D25"/>
    <w:rsid w:val="00225B53"/>
    <w:rsid w:val="00225EDC"/>
    <w:rsid w:val="00264DA0"/>
    <w:rsid w:val="00267DC9"/>
    <w:rsid w:val="002773FD"/>
    <w:rsid w:val="00282214"/>
    <w:rsid w:val="00292AAB"/>
    <w:rsid w:val="002B1DE0"/>
    <w:rsid w:val="002D02EC"/>
    <w:rsid w:val="002D4F05"/>
    <w:rsid w:val="002F143E"/>
    <w:rsid w:val="003101AF"/>
    <w:rsid w:val="00320016"/>
    <w:rsid w:val="00322318"/>
    <w:rsid w:val="00327686"/>
    <w:rsid w:val="00334626"/>
    <w:rsid w:val="00362C65"/>
    <w:rsid w:val="00364ABD"/>
    <w:rsid w:val="00373ACD"/>
    <w:rsid w:val="003B1834"/>
    <w:rsid w:val="003B554D"/>
    <w:rsid w:val="003B757B"/>
    <w:rsid w:val="003C726B"/>
    <w:rsid w:val="003D2AFF"/>
    <w:rsid w:val="003D3B44"/>
    <w:rsid w:val="003E3C50"/>
    <w:rsid w:val="003F0928"/>
    <w:rsid w:val="00400BD5"/>
    <w:rsid w:val="004013F0"/>
    <w:rsid w:val="00441609"/>
    <w:rsid w:val="004523F7"/>
    <w:rsid w:val="00460F2C"/>
    <w:rsid w:val="004754A3"/>
    <w:rsid w:val="004834F2"/>
    <w:rsid w:val="00492E07"/>
    <w:rsid w:val="004B6C28"/>
    <w:rsid w:val="004B7D7B"/>
    <w:rsid w:val="004D3CC8"/>
    <w:rsid w:val="004D3F65"/>
    <w:rsid w:val="004D3FC0"/>
    <w:rsid w:val="004D4356"/>
    <w:rsid w:val="004E2C77"/>
    <w:rsid w:val="004E58DC"/>
    <w:rsid w:val="004E5D81"/>
    <w:rsid w:val="004F0D8D"/>
    <w:rsid w:val="004F23A9"/>
    <w:rsid w:val="004F46F3"/>
    <w:rsid w:val="004F4AC5"/>
    <w:rsid w:val="00510B15"/>
    <w:rsid w:val="00516443"/>
    <w:rsid w:val="0051656D"/>
    <w:rsid w:val="00521C23"/>
    <w:rsid w:val="00522FF3"/>
    <w:rsid w:val="00530D21"/>
    <w:rsid w:val="00567750"/>
    <w:rsid w:val="00590B68"/>
    <w:rsid w:val="005C0904"/>
    <w:rsid w:val="005D19BF"/>
    <w:rsid w:val="005D1CEB"/>
    <w:rsid w:val="005D1D24"/>
    <w:rsid w:val="005D5C90"/>
    <w:rsid w:val="005D5FCF"/>
    <w:rsid w:val="005F0F79"/>
    <w:rsid w:val="005F3575"/>
    <w:rsid w:val="006018F6"/>
    <w:rsid w:val="00614775"/>
    <w:rsid w:val="0061621C"/>
    <w:rsid w:val="00617E1E"/>
    <w:rsid w:val="00652709"/>
    <w:rsid w:val="00653334"/>
    <w:rsid w:val="00674966"/>
    <w:rsid w:val="0067741D"/>
    <w:rsid w:val="00682D3F"/>
    <w:rsid w:val="006840C3"/>
    <w:rsid w:val="006A0FD1"/>
    <w:rsid w:val="006A5BCB"/>
    <w:rsid w:val="006B35A3"/>
    <w:rsid w:val="006B3ACE"/>
    <w:rsid w:val="006C31D5"/>
    <w:rsid w:val="006D0E46"/>
    <w:rsid w:val="006D19A7"/>
    <w:rsid w:val="006D4E0B"/>
    <w:rsid w:val="007068CA"/>
    <w:rsid w:val="00710199"/>
    <w:rsid w:val="00711C38"/>
    <w:rsid w:val="007305C8"/>
    <w:rsid w:val="0073221D"/>
    <w:rsid w:val="0074338F"/>
    <w:rsid w:val="00746FC8"/>
    <w:rsid w:val="007473F6"/>
    <w:rsid w:val="007522E7"/>
    <w:rsid w:val="00761947"/>
    <w:rsid w:val="0076380E"/>
    <w:rsid w:val="00767933"/>
    <w:rsid w:val="00777986"/>
    <w:rsid w:val="00791E01"/>
    <w:rsid w:val="007A1034"/>
    <w:rsid w:val="007B7F20"/>
    <w:rsid w:val="007D10F6"/>
    <w:rsid w:val="007E714C"/>
    <w:rsid w:val="007F106C"/>
    <w:rsid w:val="00802CDD"/>
    <w:rsid w:val="008038EE"/>
    <w:rsid w:val="00813FC3"/>
    <w:rsid w:val="0082374B"/>
    <w:rsid w:val="00827712"/>
    <w:rsid w:val="00831DAC"/>
    <w:rsid w:val="00840E41"/>
    <w:rsid w:val="00841A4A"/>
    <w:rsid w:val="00866235"/>
    <w:rsid w:val="0088798C"/>
    <w:rsid w:val="008A4020"/>
    <w:rsid w:val="008B44F8"/>
    <w:rsid w:val="008D5AFD"/>
    <w:rsid w:val="008E0A08"/>
    <w:rsid w:val="008F2C49"/>
    <w:rsid w:val="008F5983"/>
    <w:rsid w:val="008F7585"/>
    <w:rsid w:val="00933AE4"/>
    <w:rsid w:val="00934EA9"/>
    <w:rsid w:val="009378F6"/>
    <w:rsid w:val="009460CE"/>
    <w:rsid w:val="00952965"/>
    <w:rsid w:val="0096768D"/>
    <w:rsid w:val="00972489"/>
    <w:rsid w:val="00987666"/>
    <w:rsid w:val="009A11C7"/>
    <w:rsid w:val="009A15AC"/>
    <w:rsid w:val="009A4C1E"/>
    <w:rsid w:val="009A6F7C"/>
    <w:rsid w:val="009A767E"/>
    <w:rsid w:val="009B3887"/>
    <w:rsid w:val="009C18DA"/>
    <w:rsid w:val="009C536A"/>
    <w:rsid w:val="009C5DE4"/>
    <w:rsid w:val="009D4408"/>
    <w:rsid w:val="009F7D8D"/>
    <w:rsid w:val="00A07FD8"/>
    <w:rsid w:val="00A2047F"/>
    <w:rsid w:val="00A21EF5"/>
    <w:rsid w:val="00A33772"/>
    <w:rsid w:val="00A366F2"/>
    <w:rsid w:val="00A40C45"/>
    <w:rsid w:val="00A40C65"/>
    <w:rsid w:val="00A442DF"/>
    <w:rsid w:val="00A46428"/>
    <w:rsid w:val="00A4743E"/>
    <w:rsid w:val="00A578AC"/>
    <w:rsid w:val="00A6062F"/>
    <w:rsid w:val="00A723DA"/>
    <w:rsid w:val="00A75C98"/>
    <w:rsid w:val="00A83D4C"/>
    <w:rsid w:val="00A90DFC"/>
    <w:rsid w:val="00AB5DE6"/>
    <w:rsid w:val="00AE6CC8"/>
    <w:rsid w:val="00AE72E7"/>
    <w:rsid w:val="00AF5C33"/>
    <w:rsid w:val="00B00C52"/>
    <w:rsid w:val="00B057F4"/>
    <w:rsid w:val="00B0631C"/>
    <w:rsid w:val="00B06BFD"/>
    <w:rsid w:val="00B212F9"/>
    <w:rsid w:val="00B266E9"/>
    <w:rsid w:val="00B277DF"/>
    <w:rsid w:val="00B33C23"/>
    <w:rsid w:val="00B41924"/>
    <w:rsid w:val="00B501CE"/>
    <w:rsid w:val="00B64744"/>
    <w:rsid w:val="00B651EE"/>
    <w:rsid w:val="00B6539B"/>
    <w:rsid w:val="00BC17B5"/>
    <w:rsid w:val="00BE0015"/>
    <w:rsid w:val="00BF1824"/>
    <w:rsid w:val="00C000E0"/>
    <w:rsid w:val="00C161D4"/>
    <w:rsid w:val="00C373AD"/>
    <w:rsid w:val="00C5612C"/>
    <w:rsid w:val="00C62EBE"/>
    <w:rsid w:val="00C665B4"/>
    <w:rsid w:val="00C709A5"/>
    <w:rsid w:val="00C72F05"/>
    <w:rsid w:val="00C85B48"/>
    <w:rsid w:val="00C87B85"/>
    <w:rsid w:val="00C909B6"/>
    <w:rsid w:val="00CA0A99"/>
    <w:rsid w:val="00CA170A"/>
    <w:rsid w:val="00CA75EB"/>
    <w:rsid w:val="00CB3E72"/>
    <w:rsid w:val="00CC38AB"/>
    <w:rsid w:val="00CC43F0"/>
    <w:rsid w:val="00CD5BC0"/>
    <w:rsid w:val="00CF6915"/>
    <w:rsid w:val="00CF7583"/>
    <w:rsid w:val="00D06678"/>
    <w:rsid w:val="00D07B6C"/>
    <w:rsid w:val="00D10BE3"/>
    <w:rsid w:val="00D150B2"/>
    <w:rsid w:val="00D27C56"/>
    <w:rsid w:val="00D318BA"/>
    <w:rsid w:val="00D32B04"/>
    <w:rsid w:val="00D3764D"/>
    <w:rsid w:val="00D415FF"/>
    <w:rsid w:val="00D5197E"/>
    <w:rsid w:val="00D62B3A"/>
    <w:rsid w:val="00D63720"/>
    <w:rsid w:val="00D66598"/>
    <w:rsid w:val="00D72AE3"/>
    <w:rsid w:val="00D77837"/>
    <w:rsid w:val="00D82F83"/>
    <w:rsid w:val="00D928FE"/>
    <w:rsid w:val="00D95D07"/>
    <w:rsid w:val="00D97936"/>
    <w:rsid w:val="00D97E7A"/>
    <w:rsid w:val="00DA399F"/>
    <w:rsid w:val="00DA67C9"/>
    <w:rsid w:val="00DA740F"/>
    <w:rsid w:val="00DB40E2"/>
    <w:rsid w:val="00DB55D4"/>
    <w:rsid w:val="00DC2418"/>
    <w:rsid w:val="00DC30C7"/>
    <w:rsid w:val="00DC3415"/>
    <w:rsid w:val="00DC41AF"/>
    <w:rsid w:val="00DD0737"/>
    <w:rsid w:val="00DD073B"/>
    <w:rsid w:val="00E01B1E"/>
    <w:rsid w:val="00E274B6"/>
    <w:rsid w:val="00E307FF"/>
    <w:rsid w:val="00E30866"/>
    <w:rsid w:val="00E32574"/>
    <w:rsid w:val="00E4140C"/>
    <w:rsid w:val="00E45EEF"/>
    <w:rsid w:val="00E4786D"/>
    <w:rsid w:val="00E53D25"/>
    <w:rsid w:val="00E57289"/>
    <w:rsid w:val="00E61F06"/>
    <w:rsid w:val="00E65199"/>
    <w:rsid w:val="00E669D0"/>
    <w:rsid w:val="00E749F9"/>
    <w:rsid w:val="00EA01D4"/>
    <w:rsid w:val="00EA0B69"/>
    <w:rsid w:val="00EA6AD0"/>
    <w:rsid w:val="00EB2229"/>
    <w:rsid w:val="00EB4DBD"/>
    <w:rsid w:val="00EB7279"/>
    <w:rsid w:val="00EC2B85"/>
    <w:rsid w:val="00EC4B6F"/>
    <w:rsid w:val="00EC6FD7"/>
    <w:rsid w:val="00ED2433"/>
    <w:rsid w:val="00ED3607"/>
    <w:rsid w:val="00EE2AFD"/>
    <w:rsid w:val="00F06B66"/>
    <w:rsid w:val="00F12656"/>
    <w:rsid w:val="00F32654"/>
    <w:rsid w:val="00F33DE6"/>
    <w:rsid w:val="00F359F9"/>
    <w:rsid w:val="00F52FF2"/>
    <w:rsid w:val="00F64C91"/>
    <w:rsid w:val="00F71967"/>
    <w:rsid w:val="00F87B73"/>
    <w:rsid w:val="00F939D1"/>
    <w:rsid w:val="00FA3CFD"/>
    <w:rsid w:val="00FB4C87"/>
    <w:rsid w:val="00FC1D53"/>
    <w:rsid w:val="00FD2671"/>
    <w:rsid w:val="00FD5410"/>
    <w:rsid w:val="00FD6301"/>
    <w:rsid w:val="00FE0D26"/>
    <w:rsid w:val="00FE6BC2"/>
    <w:rsid w:val="00FF4B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78D51F9A-C4ED-4D8C-B7C6-BCBFACE6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4A"/>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rPr>
      <w:lang w:val="x-none" w:eastAsia="x-none"/>
    </w:r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semiHidden/>
    <w:rsid w:val="004754A3"/>
    <w:rPr>
      <w:sz w:val="16"/>
      <w:szCs w:val="16"/>
    </w:rPr>
  </w:style>
  <w:style w:type="paragraph" w:styleId="CommentText">
    <w:name w:val="annotation text"/>
    <w:basedOn w:val="Normal"/>
    <w:semiHidden/>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ListParagraph">
    <w:name w:val="List Paragraph"/>
    <w:aliases w:val="2"/>
    <w:basedOn w:val="Normal"/>
    <w:link w:val="ListParagraphChar"/>
    <w:uiPriority w:val="34"/>
    <w:qFormat/>
    <w:rsid w:val="00590B68"/>
    <w:pPr>
      <w:ind w:left="720"/>
    </w:pPr>
    <w:rPr>
      <w:rFonts w:ascii="Calibri" w:eastAsiaTheme="minorHAnsi" w:hAnsi="Calibri"/>
      <w:sz w:val="22"/>
      <w:szCs w:val="22"/>
    </w:rPr>
  </w:style>
  <w:style w:type="paragraph" w:customStyle="1" w:styleId="naisf">
    <w:name w:val="naisf"/>
    <w:basedOn w:val="Normal"/>
    <w:rsid w:val="00590B68"/>
    <w:pPr>
      <w:spacing w:before="100" w:beforeAutospacing="1" w:after="100" w:afterAutospacing="1"/>
      <w:jc w:val="both"/>
    </w:pPr>
    <w:rPr>
      <w:rFonts w:ascii="Times New Roman" w:hAnsi="Times New Roman"/>
      <w:szCs w:val="24"/>
      <w:lang w:eastAsia="en-US"/>
    </w:rPr>
  </w:style>
  <w:style w:type="character" w:customStyle="1" w:styleId="ListParagraphChar">
    <w:name w:val="List Paragraph Char"/>
    <w:aliases w:val="2 Char"/>
    <w:link w:val="ListParagraph"/>
    <w:uiPriority w:val="34"/>
    <w:locked/>
    <w:rsid w:val="00590B68"/>
    <w:rPr>
      <w:rFonts w:ascii="Calibri" w:eastAsiaTheme="minorHAnsi" w:hAnsi="Calibri"/>
      <w:sz w:val="22"/>
      <w:szCs w:val="22"/>
    </w:rPr>
  </w:style>
  <w:style w:type="paragraph" w:styleId="BodyTextIndent2">
    <w:name w:val="Body Text Indent 2"/>
    <w:basedOn w:val="Normal"/>
    <w:link w:val="BodyTextIndent2Char"/>
    <w:rsid w:val="00590B68"/>
    <w:pPr>
      <w:ind w:firstLine="709"/>
      <w:jc w:val="both"/>
    </w:pPr>
    <w:rPr>
      <w:rFonts w:ascii="Times New Roman" w:hAnsi="Times New Roman"/>
      <w:lang w:val="en-US" w:eastAsia="en-US"/>
    </w:rPr>
  </w:style>
  <w:style w:type="character" w:customStyle="1" w:styleId="BodyTextIndent2Char">
    <w:name w:val="Body Text Indent 2 Char"/>
    <w:basedOn w:val="DefaultParagraphFont"/>
    <w:link w:val="BodyTextIndent2"/>
    <w:rsid w:val="00590B68"/>
    <w:rPr>
      <w:sz w:val="24"/>
      <w:lang w:val="en-US" w:eastAsia="en-US"/>
    </w:rPr>
  </w:style>
  <w:style w:type="paragraph" w:styleId="Title">
    <w:name w:val="Title"/>
    <w:basedOn w:val="Normal"/>
    <w:link w:val="TitleChar"/>
    <w:qFormat/>
    <w:rsid w:val="00590B68"/>
    <w:pPr>
      <w:jc w:val="center"/>
      <w:outlineLvl w:val="0"/>
    </w:pPr>
    <w:rPr>
      <w:rFonts w:ascii="RimTimes" w:hAnsi="RimTimes"/>
      <w:sz w:val="28"/>
      <w:lang w:val="en-US" w:eastAsia="en-US"/>
    </w:rPr>
  </w:style>
  <w:style w:type="character" w:customStyle="1" w:styleId="TitleChar">
    <w:name w:val="Title Char"/>
    <w:basedOn w:val="DefaultParagraphFont"/>
    <w:link w:val="Title"/>
    <w:rsid w:val="00590B68"/>
    <w:rPr>
      <w:rFonts w:ascii="RimTimes" w:hAnsi="RimTimes"/>
      <w:sz w:val="28"/>
      <w:lang w:val="en-US" w:eastAsia="en-US"/>
    </w:rPr>
  </w:style>
  <w:style w:type="character" w:customStyle="1" w:styleId="apple-converted-space">
    <w:name w:val="apple-converted-space"/>
    <w:rsid w:val="001F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6493">
      <w:bodyDiv w:val="1"/>
      <w:marLeft w:val="0"/>
      <w:marRight w:val="0"/>
      <w:marTop w:val="0"/>
      <w:marBottom w:val="0"/>
      <w:divBdr>
        <w:top w:val="none" w:sz="0" w:space="0" w:color="auto"/>
        <w:left w:val="none" w:sz="0" w:space="0" w:color="auto"/>
        <w:bottom w:val="none" w:sz="0" w:space="0" w:color="auto"/>
        <w:right w:val="none" w:sz="0" w:space="0" w:color="auto"/>
      </w:divBdr>
    </w:div>
    <w:div w:id="215510522">
      <w:bodyDiv w:val="1"/>
      <w:marLeft w:val="0"/>
      <w:marRight w:val="0"/>
      <w:marTop w:val="0"/>
      <w:marBottom w:val="0"/>
      <w:divBdr>
        <w:top w:val="none" w:sz="0" w:space="0" w:color="auto"/>
        <w:left w:val="none" w:sz="0" w:space="0" w:color="auto"/>
        <w:bottom w:val="none" w:sz="0" w:space="0" w:color="auto"/>
        <w:right w:val="none" w:sz="0" w:space="0" w:color="auto"/>
      </w:divBdr>
    </w:div>
    <w:div w:id="263345596">
      <w:bodyDiv w:val="1"/>
      <w:marLeft w:val="0"/>
      <w:marRight w:val="0"/>
      <w:marTop w:val="0"/>
      <w:marBottom w:val="0"/>
      <w:divBdr>
        <w:top w:val="none" w:sz="0" w:space="0" w:color="auto"/>
        <w:left w:val="none" w:sz="0" w:space="0" w:color="auto"/>
        <w:bottom w:val="none" w:sz="0" w:space="0" w:color="auto"/>
        <w:right w:val="none" w:sz="0" w:space="0" w:color="auto"/>
      </w:divBdr>
    </w:div>
    <w:div w:id="309024887">
      <w:bodyDiv w:val="1"/>
      <w:marLeft w:val="0"/>
      <w:marRight w:val="0"/>
      <w:marTop w:val="0"/>
      <w:marBottom w:val="0"/>
      <w:divBdr>
        <w:top w:val="none" w:sz="0" w:space="0" w:color="auto"/>
        <w:left w:val="none" w:sz="0" w:space="0" w:color="auto"/>
        <w:bottom w:val="none" w:sz="0" w:space="0" w:color="auto"/>
        <w:right w:val="none" w:sz="0" w:space="0" w:color="auto"/>
      </w:divBdr>
    </w:div>
    <w:div w:id="329065839">
      <w:bodyDiv w:val="1"/>
      <w:marLeft w:val="0"/>
      <w:marRight w:val="0"/>
      <w:marTop w:val="0"/>
      <w:marBottom w:val="0"/>
      <w:divBdr>
        <w:top w:val="none" w:sz="0" w:space="0" w:color="auto"/>
        <w:left w:val="none" w:sz="0" w:space="0" w:color="auto"/>
        <w:bottom w:val="none" w:sz="0" w:space="0" w:color="auto"/>
        <w:right w:val="none" w:sz="0" w:space="0" w:color="auto"/>
      </w:divBdr>
    </w:div>
    <w:div w:id="477067933">
      <w:bodyDiv w:val="1"/>
      <w:marLeft w:val="0"/>
      <w:marRight w:val="0"/>
      <w:marTop w:val="0"/>
      <w:marBottom w:val="0"/>
      <w:divBdr>
        <w:top w:val="none" w:sz="0" w:space="0" w:color="auto"/>
        <w:left w:val="none" w:sz="0" w:space="0" w:color="auto"/>
        <w:bottom w:val="none" w:sz="0" w:space="0" w:color="auto"/>
        <w:right w:val="none" w:sz="0" w:space="0" w:color="auto"/>
      </w:divBdr>
    </w:div>
    <w:div w:id="527062510">
      <w:bodyDiv w:val="1"/>
      <w:marLeft w:val="0"/>
      <w:marRight w:val="0"/>
      <w:marTop w:val="0"/>
      <w:marBottom w:val="0"/>
      <w:divBdr>
        <w:top w:val="none" w:sz="0" w:space="0" w:color="auto"/>
        <w:left w:val="none" w:sz="0" w:space="0" w:color="auto"/>
        <w:bottom w:val="none" w:sz="0" w:space="0" w:color="auto"/>
        <w:right w:val="none" w:sz="0" w:space="0" w:color="auto"/>
      </w:divBdr>
    </w:div>
    <w:div w:id="532230345">
      <w:bodyDiv w:val="1"/>
      <w:marLeft w:val="0"/>
      <w:marRight w:val="0"/>
      <w:marTop w:val="0"/>
      <w:marBottom w:val="0"/>
      <w:divBdr>
        <w:top w:val="none" w:sz="0" w:space="0" w:color="auto"/>
        <w:left w:val="none" w:sz="0" w:space="0" w:color="auto"/>
        <w:bottom w:val="none" w:sz="0" w:space="0" w:color="auto"/>
        <w:right w:val="none" w:sz="0" w:space="0" w:color="auto"/>
      </w:divBdr>
    </w:div>
    <w:div w:id="633826547">
      <w:bodyDiv w:val="1"/>
      <w:marLeft w:val="0"/>
      <w:marRight w:val="0"/>
      <w:marTop w:val="0"/>
      <w:marBottom w:val="0"/>
      <w:divBdr>
        <w:top w:val="none" w:sz="0" w:space="0" w:color="auto"/>
        <w:left w:val="none" w:sz="0" w:space="0" w:color="auto"/>
        <w:bottom w:val="none" w:sz="0" w:space="0" w:color="auto"/>
        <w:right w:val="none" w:sz="0" w:space="0" w:color="auto"/>
      </w:divBdr>
    </w:div>
    <w:div w:id="637414784">
      <w:bodyDiv w:val="1"/>
      <w:marLeft w:val="0"/>
      <w:marRight w:val="0"/>
      <w:marTop w:val="0"/>
      <w:marBottom w:val="0"/>
      <w:divBdr>
        <w:top w:val="none" w:sz="0" w:space="0" w:color="auto"/>
        <w:left w:val="none" w:sz="0" w:space="0" w:color="auto"/>
        <w:bottom w:val="none" w:sz="0" w:space="0" w:color="auto"/>
        <w:right w:val="none" w:sz="0" w:space="0" w:color="auto"/>
      </w:divBdr>
    </w:div>
    <w:div w:id="785657041">
      <w:bodyDiv w:val="1"/>
      <w:marLeft w:val="0"/>
      <w:marRight w:val="0"/>
      <w:marTop w:val="0"/>
      <w:marBottom w:val="0"/>
      <w:divBdr>
        <w:top w:val="none" w:sz="0" w:space="0" w:color="auto"/>
        <w:left w:val="none" w:sz="0" w:space="0" w:color="auto"/>
        <w:bottom w:val="none" w:sz="0" w:space="0" w:color="auto"/>
        <w:right w:val="none" w:sz="0" w:space="0" w:color="auto"/>
      </w:divBdr>
    </w:div>
    <w:div w:id="793249689">
      <w:bodyDiv w:val="1"/>
      <w:marLeft w:val="0"/>
      <w:marRight w:val="0"/>
      <w:marTop w:val="0"/>
      <w:marBottom w:val="0"/>
      <w:divBdr>
        <w:top w:val="none" w:sz="0" w:space="0" w:color="auto"/>
        <w:left w:val="none" w:sz="0" w:space="0" w:color="auto"/>
        <w:bottom w:val="none" w:sz="0" w:space="0" w:color="auto"/>
        <w:right w:val="none" w:sz="0" w:space="0" w:color="auto"/>
      </w:divBdr>
    </w:div>
    <w:div w:id="865219322">
      <w:bodyDiv w:val="1"/>
      <w:marLeft w:val="0"/>
      <w:marRight w:val="0"/>
      <w:marTop w:val="0"/>
      <w:marBottom w:val="0"/>
      <w:divBdr>
        <w:top w:val="none" w:sz="0" w:space="0" w:color="auto"/>
        <w:left w:val="none" w:sz="0" w:space="0" w:color="auto"/>
        <w:bottom w:val="none" w:sz="0" w:space="0" w:color="auto"/>
        <w:right w:val="none" w:sz="0" w:space="0" w:color="auto"/>
      </w:divBdr>
    </w:div>
    <w:div w:id="1021779880">
      <w:bodyDiv w:val="1"/>
      <w:marLeft w:val="0"/>
      <w:marRight w:val="0"/>
      <w:marTop w:val="0"/>
      <w:marBottom w:val="0"/>
      <w:divBdr>
        <w:top w:val="none" w:sz="0" w:space="0" w:color="auto"/>
        <w:left w:val="none" w:sz="0" w:space="0" w:color="auto"/>
        <w:bottom w:val="none" w:sz="0" w:space="0" w:color="auto"/>
        <w:right w:val="none" w:sz="0" w:space="0" w:color="auto"/>
      </w:divBdr>
    </w:div>
    <w:div w:id="1065105596">
      <w:bodyDiv w:val="1"/>
      <w:marLeft w:val="0"/>
      <w:marRight w:val="0"/>
      <w:marTop w:val="0"/>
      <w:marBottom w:val="0"/>
      <w:divBdr>
        <w:top w:val="none" w:sz="0" w:space="0" w:color="auto"/>
        <w:left w:val="none" w:sz="0" w:space="0" w:color="auto"/>
        <w:bottom w:val="none" w:sz="0" w:space="0" w:color="auto"/>
        <w:right w:val="none" w:sz="0" w:space="0" w:color="auto"/>
      </w:divBdr>
    </w:div>
    <w:div w:id="1133327799">
      <w:bodyDiv w:val="1"/>
      <w:marLeft w:val="0"/>
      <w:marRight w:val="0"/>
      <w:marTop w:val="0"/>
      <w:marBottom w:val="0"/>
      <w:divBdr>
        <w:top w:val="none" w:sz="0" w:space="0" w:color="auto"/>
        <w:left w:val="none" w:sz="0" w:space="0" w:color="auto"/>
        <w:bottom w:val="none" w:sz="0" w:space="0" w:color="auto"/>
        <w:right w:val="none" w:sz="0" w:space="0" w:color="auto"/>
      </w:divBdr>
    </w:div>
    <w:div w:id="1205943409">
      <w:bodyDiv w:val="1"/>
      <w:marLeft w:val="0"/>
      <w:marRight w:val="0"/>
      <w:marTop w:val="0"/>
      <w:marBottom w:val="0"/>
      <w:divBdr>
        <w:top w:val="none" w:sz="0" w:space="0" w:color="auto"/>
        <w:left w:val="none" w:sz="0" w:space="0" w:color="auto"/>
        <w:bottom w:val="none" w:sz="0" w:space="0" w:color="auto"/>
        <w:right w:val="none" w:sz="0" w:space="0" w:color="auto"/>
      </w:divBdr>
    </w:div>
    <w:div w:id="1288002856">
      <w:bodyDiv w:val="1"/>
      <w:marLeft w:val="0"/>
      <w:marRight w:val="0"/>
      <w:marTop w:val="0"/>
      <w:marBottom w:val="0"/>
      <w:divBdr>
        <w:top w:val="none" w:sz="0" w:space="0" w:color="auto"/>
        <w:left w:val="none" w:sz="0" w:space="0" w:color="auto"/>
        <w:bottom w:val="none" w:sz="0" w:space="0" w:color="auto"/>
        <w:right w:val="none" w:sz="0" w:space="0" w:color="auto"/>
      </w:divBdr>
    </w:div>
    <w:div w:id="1434206405">
      <w:bodyDiv w:val="1"/>
      <w:marLeft w:val="0"/>
      <w:marRight w:val="0"/>
      <w:marTop w:val="0"/>
      <w:marBottom w:val="0"/>
      <w:divBdr>
        <w:top w:val="none" w:sz="0" w:space="0" w:color="auto"/>
        <w:left w:val="none" w:sz="0" w:space="0" w:color="auto"/>
        <w:bottom w:val="none" w:sz="0" w:space="0" w:color="auto"/>
        <w:right w:val="none" w:sz="0" w:space="0" w:color="auto"/>
      </w:divBdr>
    </w:div>
    <w:div w:id="1506506553">
      <w:bodyDiv w:val="1"/>
      <w:marLeft w:val="0"/>
      <w:marRight w:val="0"/>
      <w:marTop w:val="0"/>
      <w:marBottom w:val="0"/>
      <w:divBdr>
        <w:top w:val="none" w:sz="0" w:space="0" w:color="auto"/>
        <w:left w:val="none" w:sz="0" w:space="0" w:color="auto"/>
        <w:bottom w:val="none" w:sz="0" w:space="0" w:color="auto"/>
        <w:right w:val="none" w:sz="0" w:space="0" w:color="auto"/>
      </w:divBdr>
    </w:div>
    <w:div w:id="1565871948">
      <w:bodyDiv w:val="1"/>
      <w:marLeft w:val="0"/>
      <w:marRight w:val="0"/>
      <w:marTop w:val="0"/>
      <w:marBottom w:val="0"/>
      <w:divBdr>
        <w:top w:val="none" w:sz="0" w:space="0" w:color="auto"/>
        <w:left w:val="none" w:sz="0" w:space="0" w:color="auto"/>
        <w:bottom w:val="none" w:sz="0" w:space="0" w:color="auto"/>
        <w:right w:val="none" w:sz="0" w:space="0" w:color="auto"/>
      </w:divBdr>
    </w:div>
    <w:div w:id="1575163990">
      <w:bodyDiv w:val="1"/>
      <w:marLeft w:val="0"/>
      <w:marRight w:val="0"/>
      <w:marTop w:val="0"/>
      <w:marBottom w:val="0"/>
      <w:divBdr>
        <w:top w:val="none" w:sz="0" w:space="0" w:color="auto"/>
        <w:left w:val="none" w:sz="0" w:space="0" w:color="auto"/>
        <w:bottom w:val="none" w:sz="0" w:space="0" w:color="auto"/>
        <w:right w:val="none" w:sz="0" w:space="0" w:color="auto"/>
      </w:divBdr>
    </w:div>
    <w:div w:id="1581410067">
      <w:bodyDiv w:val="1"/>
      <w:marLeft w:val="0"/>
      <w:marRight w:val="0"/>
      <w:marTop w:val="0"/>
      <w:marBottom w:val="0"/>
      <w:divBdr>
        <w:top w:val="none" w:sz="0" w:space="0" w:color="auto"/>
        <w:left w:val="none" w:sz="0" w:space="0" w:color="auto"/>
        <w:bottom w:val="none" w:sz="0" w:space="0" w:color="auto"/>
        <w:right w:val="none" w:sz="0" w:space="0" w:color="auto"/>
      </w:divBdr>
    </w:div>
    <w:div w:id="1629974844">
      <w:bodyDiv w:val="1"/>
      <w:marLeft w:val="0"/>
      <w:marRight w:val="0"/>
      <w:marTop w:val="0"/>
      <w:marBottom w:val="0"/>
      <w:divBdr>
        <w:top w:val="none" w:sz="0" w:space="0" w:color="auto"/>
        <w:left w:val="none" w:sz="0" w:space="0" w:color="auto"/>
        <w:bottom w:val="none" w:sz="0" w:space="0" w:color="auto"/>
        <w:right w:val="none" w:sz="0" w:space="0" w:color="auto"/>
      </w:divBdr>
    </w:div>
    <w:div w:id="1872836352">
      <w:bodyDiv w:val="1"/>
      <w:marLeft w:val="0"/>
      <w:marRight w:val="0"/>
      <w:marTop w:val="0"/>
      <w:marBottom w:val="0"/>
      <w:divBdr>
        <w:top w:val="none" w:sz="0" w:space="0" w:color="auto"/>
        <w:left w:val="none" w:sz="0" w:space="0" w:color="auto"/>
        <w:bottom w:val="none" w:sz="0" w:space="0" w:color="auto"/>
        <w:right w:val="none" w:sz="0" w:space="0" w:color="auto"/>
      </w:divBdr>
    </w:div>
    <w:div w:id="19523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D5FC8-31C2-47D4-9116-80C921E6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7765</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Agnese Kundziņa</cp:lastModifiedBy>
  <cp:revision>2</cp:revision>
  <cp:lastPrinted>2019-01-03T08:23:00Z</cp:lastPrinted>
  <dcterms:created xsi:type="dcterms:W3CDTF">2019-01-18T08:27:00Z</dcterms:created>
  <dcterms:modified xsi:type="dcterms:W3CDTF">2019-01-18T08:27:00Z</dcterms:modified>
</cp:coreProperties>
</file>