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741AE0AA" w:rsidR="00114E13" w:rsidRDefault="0051753D" w:rsidP="00FF4B0C">
      <w:pPr>
        <w:ind w:right="55"/>
        <w:jc w:val="center"/>
        <w:rPr>
          <w:rFonts w:ascii="Times New Roman" w:hAnsi="Times New Roman"/>
          <w:b/>
          <w:bCs/>
          <w:szCs w:val="24"/>
        </w:rPr>
      </w:pPr>
      <w:r>
        <w:rPr>
          <w:rFonts w:ascii="Times New Roman" w:hAnsi="Times New Roman"/>
          <w:b/>
          <w:bCs/>
          <w:szCs w:val="24"/>
        </w:rPr>
        <w:t>Iepirkuma komisijas 12</w:t>
      </w:r>
      <w:r w:rsidR="006B6A59">
        <w:rPr>
          <w:rFonts w:ascii="Times New Roman" w:hAnsi="Times New Roman"/>
          <w:b/>
          <w:bCs/>
          <w:szCs w:val="24"/>
        </w:rPr>
        <w:t>.03</w:t>
      </w:r>
      <w:r w:rsidR="00460374">
        <w:rPr>
          <w:rFonts w:ascii="Times New Roman" w:hAnsi="Times New Roman"/>
          <w:b/>
          <w:bCs/>
          <w:szCs w:val="24"/>
        </w:rPr>
        <w:t>.2019</w:t>
      </w:r>
      <w:r w:rsidR="00114E13">
        <w:rPr>
          <w:rFonts w:ascii="Times New Roman" w:hAnsi="Times New Roman"/>
          <w:b/>
          <w:bCs/>
          <w:szCs w:val="24"/>
        </w:rPr>
        <w:t>. sēdē sniegtā</w:t>
      </w:r>
      <w:r>
        <w:rPr>
          <w:rFonts w:ascii="Times New Roman" w:hAnsi="Times New Roman"/>
          <w:b/>
          <w:bCs/>
          <w:szCs w:val="24"/>
        </w:rPr>
        <w:t>s</w:t>
      </w:r>
      <w:r w:rsidR="00114E13">
        <w:rPr>
          <w:rFonts w:ascii="Times New Roman" w:hAnsi="Times New Roman"/>
          <w:b/>
          <w:bCs/>
          <w:szCs w:val="24"/>
        </w:rPr>
        <w:t xml:space="preserve"> atbilde</w:t>
      </w:r>
      <w:r>
        <w:rPr>
          <w:rFonts w:ascii="Times New Roman" w:hAnsi="Times New Roman"/>
          <w:b/>
          <w:bCs/>
          <w:szCs w:val="24"/>
        </w:rPr>
        <w:t>s</w:t>
      </w:r>
      <w:r w:rsidR="00114E13">
        <w:rPr>
          <w:rFonts w:ascii="Times New Roman" w:hAnsi="Times New Roman"/>
          <w:b/>
          <w:bCs/>
          <w:szCs w:val="24"/>
        </w:rPr>
        <w:t xml:space="preserve"> uz </w:t>
      </w:r>
      <w:r w:rsidR="00460374">
        <w:rPr>
          <w:rFonts w:ascii="Times New Roman" w:hAnsi="Times New Roman"/>
          <w:b/>
          <w:bCs/>
          <w:szCs w:val="24"/>
        </w:rPr>
        <w:t>i</w:t>
      </w:r>
      <w:r>
        <w:rPr>
          <w:rFonts w:ascii="Times New Roman" w:hAnsi="Times New Roman"/>
          <w:b/>
          <w:bCs/>
          <w:szCs w:val="24"/>
        </w:rPr>
        <w:t>einteresēto piegādātāju uzdotiem jautājumiem</w:t>
      </w:r>
      <w:r w:rsidR="00114E13">
        <w:rPr>
          <w:rFonts w:ascii="Times New Roman" w:hAnsi="Times New Roman"/>
          <w:b/>
          <w:bCs/>
          <w:szCs w:val="24"/>
        </w:rPr>
        <w:t xml:space="preserve"> par sarunu procedūras</w:t>
      </w:r>
    </w:p>
    <w:p w14:paraId="74C5C567" w14:textId="77777777" w:rsidR="009114C1"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9114C1" w:rsidRPr="009114C1">
        <w:rPr>
          <w:b/>
          <w:szCs w:val="24"/>
        </w:rPr>
        <w:t>Modulārā kaujas bruņu/ uzkabes veste</w:t>
      </w:r>
      <w:r w:rsidR="00267DC9" w:rsidRPr="00674F06">
        <w:rPr>
          <w:rFonts w:ascii="Times New Roman" w:hAnsi="Times New Roman"/>
          <w:b/>
          <w:szCs w:val="24"/>
        </w:rPr>
        <w:t>”</w:t>
      </w:r>
    </w:p>
    <w:p w14:paraId="5E903A11" w14:textId="35192053" w:rsidR="00A042B3" w:rsidRDefault="00114E13" w:rsidP="00267DC9">
      <w:pPr>
        <w:tabs>
          <w:tab w:val="left" w:pos="8280"/>
        </w:tabs>
        <w:ind w:left="540" w:right="70"/>
        <w:jc w:val="center"/>
        <w:rPr>
          <w:rFonts w:ascii="Times New Roman" w:hAnsi="Times New Roman"/>
          <w:b/>
          <w:bCs/>
          <w:szCs w:val="24"/>
        </w:rPr>
      </w:pPr>
      <w:r>
        <w:rPr>
          <w:rFonts w:ascii="Times New Roman" w:hAnsi="Times New Roman"/>
          <w:b/>
          <w:bCs/>
          <w:szCs w:val="24"/>
        </w:rPr>
        <w:t xml:space="preserve"> </w:t>
      </w:r>
      <w:r w:rsidR="00FF4B0C" w:rsidRPr="00F43DE2">
        <w:rPr>
          <w:rFonts w:ascii="Times New Roman" w:hAnsi="Times New Roman"/>
          <w:b/>
          <w:bCs/>
          <w:szCs w:val="24"/>
        </w:rPr>
        <w:t>identifikācijas Nr. VAMOIC 201</w:t>
      </w:r>
      <w:r w:rsidR="00E354DA">
        <w:rPr>
          <w:rFonts w:ascii="Times New Roman" w:hAnsi="Times New Roman"/>
          <w:b/>
          <w:bCs/>
          <w:szCs w:val="24"/>
        </w:rPr>
        <w:t>8/024</w:t>
      </w:r>
      <w:r>
        <w:rPr>
          <w:rFonts w:ascii="Times New Roman" w:hAnsi="Times New Roman"/>
          <w:b/>
          <w:bCs/>
          <w:szCs w:val="24"/>
        </w:rPr>
        <w:t xml:space="preserve"> nolikuma prasībām</w:t>
      </w:r>
    </w:p>
    <w:p w14:paraId="5EA7FB03" w14:textId="77777777" w:rsidR="009114C1" w:rsidRDefault="009114C1" w:rsidP="00267DC9">
      <w:pPr>
        <w:tabs>
          <w:tab w:val="left" w:pos="8280"/>
        </w:tabs>
        <w:ind w:left="540" w:right="70"/>
        <w:jc w:val="center"/>
        <w:rPr>
          <w:rFonts w:ascii="Times New Roman" w:hAnsi="Times New Roman"/>
          <w:b/>
          <w:bCs/>
          <w:szCs w:val="24"/>
        </w:rPr>
      </w:pPr>
    </w:p>
    <w:p w14:paraId="07F3CE3B" w14:textId="5AE3D54D" w:rsidR="00FF4B0C" w:rsidRPr="00F43DE2" w:rsidRDefault="00FF4B0C" w:rsidP="00A042B3">
      <w:pPr>
        <w:tabs>
          <w:tab w:val="left" w:pos="8280"/>
        </w:tabs>
        <w:ind w:right="70"/>
        <w:rPr>
          <w:rFonts w:ascii="Times New Roman" w:hAnsi="Times New Roman"/>
          <w:b/>
          <w:szCs w:val="24"/>
        </w:rPr>
      </w:pPr>
    </w:p>
    <w:tbl>
      <w:tblPr>
        <w:tblStyle w:val="TableGrid"/>
        <w:tblW w:w="9006" w:type="dxa"/>
        <w:tblLayout w:type="fixed"/>
        <w:tblLook w:val="04A0" w:firstRow="1" w:lastRow="0" w:firstColumn="1" w:lastColumn="0" w:noHBand="0" w:noVBand="1"/>
      </w:tblPr>
      <w:tblGrid>
        <w:gridCol w:w="4503"/>
        <w:gridCol w:w="4503"/>
      </w:tblGrid>
      <w:tr w:rsidR="00831977" w:rsidRPr="00AF039F" w14:paraId="2EC681BA" w14:textId="77777777" w:rsidTr="00C60F53">
        <w:tc>
          <w:tcPr>
            <w:tcW w:w="4503" w:type="dxa"/>
          </w:tcPr>
          <w:p w14:paraId="0924829D" w14:textId="77777777" w:rsidR="00831977" w:rsidRDefault="00831977" w:rsidP="00C60F53">
            <w:pPr>
              <w:jc w:val="both"/>
              <w:rPr>
                <w:rFonts w:ascii="Times New Roman" w:hAnsi="Times New Roman"/>
                <w:b/>
                <w:szCs w:val="24"/>
                <w:lang w:val="en-US"/>
              </w:rPr>
            </w:pPr>
            <w:r w:rsidRPr="00AF039F">
              <w:rPr>
                <w:rFonts w:ascii="Times New Roman" w:hAnsi="Times New Roman"/>
                <w:b/>
                <w:szCs w:val="24"/>
                <w:lang w:val="en-US"/>
              </w:rPr>
              <w:t>Question No.1:</w:t>
            </w:r>
          </w:p>
          <w:p w14:paraId="58B36453" w14:textId="77777777" w:rsidR="00831977" w:rsidRPr="00BE1873" w:rsidRDefault="00831977" w:rsidP="00C60F53">
            <w:pPr>
              <w:jc w:val="both"/>
              <w:rPr>
                <w:rFonts w:ascii="Times New Roman" w:hAnsi="Times New Roman"/>
                <w:b/>
                <w:szCs w:val="24"/>
                <w:lang w:val="en-US"/>
              </w:rPr>
            </w:pPr>
            <w:r w:rsidRPr="001549C0">
              <w:rPr>
                <w:rFonts w:ascii="Times New Roman" w:hAnsi="Times New Roman"/>
                <w:lang w:val="en-GB"/>
              </w:rPr>
              <w:t>„3.7 …</w:t>
            </w:r>
            <w:r w:rsidRPr="001549C0">
              <w:rPr>
                <w:rFonts w:ascii="Times New Roman" w:hAnsi="Times New Roman"/>
                <w:lang w:val="en-US"/>
              </w:rPr>
              <w:t>Attested copy of special permits and/or licenses for commercial activities with goods mentioned in ML13 of the Common Military List of the European Union the Candidates rights to merchandise with relevant category military goods.”</w:t>
            </w:r>
            <w:r w:rsidRPr="001549C0">
              <w:rPr>
                <w:rFonts w:ascii="Times New Roman" w:hAnsi="Times New Roman"/>
                <w:lang w:val="en-GB"/>
              </w:rPr>
              <w:t xml:space="preserve">  </w:t>
            </w:r>
          </w:p>
          <w:p w14:paraId="751CB331" w14:textId="77777777" w:rsidR="00831977" w:rsidRDefault="00831977" w:rsidP="00C60F53">
            <w:pPr>
              <w:jc w:val="both"/>
              <w:rPr>
                <w:rFonts w:ascii="Times New Roman" w:hAnsi="Times New Roman"/>
                <w:lang w:val="en-GB"/>
              </w:rPr>
            </w:pPr>
            <w:r w:rsidRPr="001549C0">
              <w:rPr>
                <w:rFonts w:ascii="Times New Roman" w:hAnsi="Times New Roman"/>
                <w:lang w:val="en-GB"/>
              </w:rPr>
              <w:t>We did not face such a requirement before and cannot find out, where and how to apply for such a license/permission. Is it possible for the commission to let us know, what kind of document is requested exactly and where to get it from?</w:t>
            </w:r>
          </w:p>
          <w:p w14:paraId="69136658" w14:textId="77777777" w:rsidR="00831977" w:rsidRPr="001549C0" w:rsidRDefault="00831977" w:rsidP="00C60F53">
            <w:pPr>
              <w:jc w:val="both"/>
              <w:rPr>
                <w:rFonts w:ascii="Times New Roman" w:hAnsi="Times New Roman"/>
                <w:lang w:val="en-GB"/>
              </w:rPr>
            </w:pPr>
            <w:r w:rsidRPr="001549C0">
              <w:rPr>
                <w:rFonts w:ascii="Times New Roman" w:hAnsi="Times New Roman"/>
                <w:lang w:val="en-GB"/>
              </w:rPr>
              <w:t xml:space="preserve">There are </w:t>
            </w:r>
            <w:r w:rsidRPr="001549C0">
              <w:rPr>
                <w:rFonts w:ascii="Times New Roman" w:hAnsi="Times New Roman"/>
                <w:b/>
                <w:bCs/>
                <w:lang w:val="en-GB"/>
              </w:rPr>
              <w:t>no approval requirements</w:t>
            </w:r>
            <w:r w:rsidRPr="001549C0">
              <w:rPr>
                <w:rFonts w:ascii="Times New Roman" w:hAnsi="Times New Roman"/>
                <w:lang w:val="en-GB"/>
              </w:rPr>
              <w:t xml:space="preserve"> for the production of military equipment according to ML13 in Germany. It is not needed from German suppliers.</w:t>
            </w:r>
          </w:p>
          <w:p w14:paraId="284A2E70" w14:textId="77777777" w:rsidR="00831977" w:rsidRPr="001549C0" w:rsidRDefault="00831977" w:rsidP="00C60F53">
            <w:pPr>
              <w:jc w:val="both"/>
              <w:rPr>
                <w:rFonts w:ascii="Times New Roman" w:hAnsi="Times New Roman"/>
                <w:lang w:val="en-GB"/>
              </w:rPr>
            </w:pPr>
            <w:r w:rsidRPr="001549C0">
              <w:rPr>
                <w:rFonts w:ascii="Times New Roman" w:hAnsi="Times New Roman"/>
                <w:lang w:val="en-GB"/>
              </w:rPr>
              <w:t>There is existing a general license for export:</w:t>
            </w:r>
          </w:p>
          <w:p w14:paraId="40E44AD1" w14:textId="77777777" w:rsidR="00831977" w:rsidRPr="001549C0" w:rsidRDefault="00831977" w:rsidP="00C60F53">
            <w:pPr>
              <w:jc w:val="both"/>
              <w:rPr>
                <w:rFonts w:ascii="Times New Roman" w:hAnsi="Times New Roman"/>
                <w:lang w:val="en-GB"/>
              </w:rPr>
            </w:pPr>
            <w:r w:rsidRPr="001549C0">
              <w:rPr>
                <w:rFonts w:ascii="Times New Roman" w:hAnsi="Times New Roman"/>
                <w:lang w:val="en-GB"/>
              </w:rPr>
              <w:t xml:space="preserve">Translated extract from the </w:t>
            </w:r>
          </w:p>
          <w:p w14:paraId="1116FC62" w14:textId="77777777" w:rsidR="00831977" w:rsidRPr="001549C0" w:rsidRDefault="00831977" w:rsidP="00C60F53">
            <w:pPr>
              <w:jc w:val="both"/>
              <w:rPr>
                <w:rFonts w:ascii="Times New Roman" w:hAnsi="Times New Roman"/>
                <w:lang w:val="en-GB"/>
              </w:rPr>
            </w:pPr>
            <w:r w:rsidRPr="001549C0">
              <w:rPr>
                <w:rFonts w:ascii="Times New Roman" w:hAnsi="Times New Roman"/>
                <w:lang w:val="en-GB"/>
              </w:rPr>
              <w:t>General Approval No. 21</w:t>
            </w:r>
          </w:p>
          <w:p w14:paraId="39DD07E1" w14:textId="77777777" w:rsidR="00831977" w:rsidRPr="001549C0" w:rsidRDefault="00831977" w:rsidP="00C60F53">
            <w:pPr>
              <w:jc w:val="both"/>
              <w:rPr>
                <w:rFonts w:ascii="Times New Roman" w:hAnsi="Times New Roman"/>
                <w:lang w:val="en-GB"/>
              </w:rPr>
            </w:pPr>
            <w:r w:rsidRPr="001549C0">
              <w:rPr>
                <w:rFonts w:ascii="Times New Roman" w:hAnsi="Times New Roman"/>
                <w:lang w:val="en-GB"/>
              </w:rPr>
              <w:t>(Protective gear)</w:t>
            </w:r>
          </w:p>
          <w:p w14:paraId="6F841921" w14:textId="77777777" w:rsidR="00831977" w:rsidRPr="001549C0" w:rsidRDefault="00831977" w:rsidP="00C60F53">
            <w:pPr>
              <w:jc w:val="both"/>
              <w:rPr>
                <w:rFonts w:ascii="Times New Roman" w:hAnsi="Times New Roman"/>
                <w:lang w:val="en-GB"/>
              </w:rPr>
            </w:pPr>
            <w:r w:rsidRPr="001549C0">
              <w:rPr>
                <w:rFonts w:ascii="Times New Roman" w:hAnsi="Times New Roman"/>
                <w:lang w:val="en-GB"/>
              </w:rPr>
              <w:t>from March 16, 2018</w:t>
            </w:r>
          </w:p>
          <w:p w14:paraId="39C4F163"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“…Development, manufacture or use of the goods specified in 4.1</w:t>
            </w:r>
          </w:p>
          <w:p w14:paraId="536D3A1B"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Point 0013 of Part I, Section A, of the export list and for</w:t>
            </w:r>
          </w:p>
          <w:p w14:paraId="205B012A"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the same consignee or end user of the goods referred to in 4.1</w:t>
            </w:r>
          </w:p>
          <w:p w14:paraId="5E487C8D"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Number 0013 of Part I, Section A of the export list.</w:t>
            </w:r>
          </w:p>
          <w:p w14:paraId="1DDF1454"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5. Approved destinations</w:t>
            </w:r>
          </w:p>
          <w:p w14:paraId="121B8B99"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This General License applies to exports or transfers to recipients and</w:t>
            </w:r>
          </w:p>
          <w:p w14:paraId="45C71F15"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End-users in the following destinations:</w:t>
            </w:r>
          </w:p>
          <w:p w14:paraId="030052CE"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5.1 the customs territory of the European Union (§ 2 (25) AWG)…”</w:t>
            </w:r>
          </w:p>
          <w:p w14:paraId="3E756B13" w14:textId="77777777" w:rsidR="00831977" w:rsidRDefault="00831977" w:rsidP="00C60F53">
            <w:pPr>
              <w:jc w:val="both"/>
              <w:rPr>
                <w:rFonts w:ascii="Times New Roman" w:hAnsi="Times New Roman"/>
                <w:lang w:val="en-GB"/>
              </w:rPr>
            </w:pPr>
            <w:r w:rsidRPr="001549C0">
              <w:rPr>
                <w:rFonts w:ascii="Times New Roman" w:hAnsi="Times New Roman"/>
                <w:lang w:val="en-GB"/>
              </w:rPr>
              <w:t>Please let us know how to proceed.</w:t>
            </w:r>
          </w:p>
          <w:p w14:paraId="39998143" w14:textId="77777777" w:rsidR="00831977" w:rsidRPr="001549C0" w:rsidRDefault="00831977" w:rsidP="00C60F53">
            <w:pPr>
              <w:jc w:val="both"/>
              <w:rPr>
                <w:rFonts w:ascii="Times New Roman" w:hAnsi="Times New Roman"/>
                <w:lang w:val="en-GB"/>
              </w:rPr>
            </w:pPr>
          </w:p>
        </w:tc>
        <w:tc>
          <w:tcPr>
            <w:tcW w:w="4503" w:type="dxa"/>
          </w:tcPr>
          <w:p w14:paraId="5100AB26" w14:textId="77777777" w:rsidR="00831977" w:rsidRPr="00AF039F" w:rsidRDefault="00831977" w:rsidP="00C60F53">
            <w:pPr>
              <w:jc w:val="both"/>
              <w:rPr>
                <w:rFonts w:ascii="Times New Roman" w:hAnsi="Times New Roman"/>
                <w:b/>
                <w:szCs w:val="24"/>
              </w:rPr>
            </w:pPr>
            <w:r w:rsidRPr="00AF039F">
              <w:rPr>
                <w:rFonts w:ascii="Times New Roman" w:hAnsi="Times New Roman"/>
                <w:b/>
                <w:szCs w:val="24"/>
              </w:rPr>
              <w:t>Jautājums Nr.1:</w:t>
            </w:r>
          </w:p>
          <w:p w14:paraId="21B2B968" w14:textId="77777777" w:rsidR="00831977" w:rsidRDefault="00831977" w:rsidP="00C60F53">
            <w:pPr>
              <w:ind w:right="43"/>
              <w:jc w:val="both"/>
              <w:rPr>
                <w:rFonts w:ascii="Times New Roman" w:eastAsia="Calibri" w:hAnsi="Times New Roman"/>
                <w:szCs w:val="24"/>
                <w:lang w:eastAsia="en-US"/>
              </w:rPr>
            </w:pPr>
            <w:r>
              <w:rPr>
                <w:rFonts w:ascii="Times New Roman" w:eastAsia="Calibri" w:hAnsi="Times New Roman"/>
                <w:szCs w:val="24"/>
                <w:lang w:eastAsia="en-US"/>
              </w:rPr>
              <w:t>“3.7.…</w:t>
            </w:r>
            <w:r w:rsidRPr="007E1183">
              <w:rPr>
                <w:rFonts w:ascii="Times New Roman" w:hAnsi="Times New Roman"/>
                <w:szCs w:val="24"/>
              </w:rPr>
              <w:t>sp</w:t>
            </w:r>
            <w:r>
              <w:rPr>
                <w:rFonts w:ascii="Times New Roman" w:hAnsi="Times New Roman"/>
                <w:szCs w:val="24"/>
              </w:rPr>
              <w:t xml:space="preserve">ēkā esošas saskaņā ar kandidāta </w:t>
            </w:r>
            <w:r w:rsidRPr="007E1183">
              <w:rPr>
                <w:rFonts w:ascii="Times New Roman" w:hAnsi="Times New Roman"/>
                <w:szCs w:val="24"/>
              </w:rPr>
              <w:t>reģistrācijas valsts normatīvajiem aktiem izsniegtas speciālās atļaujas un/vai licences komercdarbībai ar Eiropas Savienības Kopējā militāro preču sarakstā sadaļā ML13 minētajām precēm apliecināta kopija.</w:t>
            </w:r>
            <w:r>
              <w:rPr>
                <w:rFonts w:ascii="Times New Roman" w:eastAsia="Calibri" w:hAnsi="Times New Roman"/>
                <w:szCs w:val="24"/>
                <w:lang w:eastAsia="en-US"/>
              </w:rPr>
              <w:t>”</w:t>
            </w:r>
          </w:p>
          <w:p w14:paraId="607F9422" w14:textId="77777777" w:rsidR="00831977" w:rsidRDefault="00831977" w:rsidP="00C60F53">
            <w:pPr>
              <w:ind w:right="43"/>
              <w:jc w:val="both"/>
              <w:rPr>
                <w:rFonts w:ascii="Times New Roman" w:eastAsia="Calibri" w:hAnsi="Times New Roman"/>
                <w:szCs w:val="24"/>
                <w:lang w:eastAsia="en-US"/>
              </w:rPr>
            </w:pPr>
            <w:r w:rsidRPr="007E1183">
              <w:rPr>
                <w:rFonts w:ascii="Times New Roman" w:eastAsia="Calibri" w:hAnsi="Times New Roman"/>
                <w:szCs w:val="24"/>
                <w:lang w:eastAsia="en-US"/>
              </w:rPr>
              <w:t>Mēs neesam saskārušies ar šādu prasību un nevaram noskaidrot, kur un kā pieteikties šādai licencei / atļaujai. Vai komisija var informēt mūs, kāda veida dokumentus pieprasa tieši un kur to</w:t>
            </w:r>
            <w:r>
              <w:rPr>
                <w:rFonts w:ascii="Times New Roman" w:eastAsia="Calibri" w:hAnsi="Times New Roman"/>
                <w:szCs w:val="24"/>
                <w:lang w:eastAsia="en-US"/>
              </w:rPr>
              <w:t>s</w:t>
            </w:r>
            <w:r w:rsidRPr="007E1183">
              <w:rPr>
                <w:rFonts w:ascii="Times New Roman" w:eastAsia="Calibri" w:hAnsi="Times New Roman"/>
                <w:szCs w:val="24"/>
                <w:lang w:eastAsia="en-US"/>
              </w:rPr>
              <w:t xml:space="preserve"> saņemt?</w:t>
            </w:r>
          </w:p>
          <w:p w14:paraId="1962D5E3" w14:textId="77777777" w:rsidR="00831977" w:rsidRDefault="00831977" w:rsidP="00C60F53">
            <w:pPr>
              <w:ind w:right="43"/>
              <w:jc w:val="both"/>
              <w:rPr>
                <w:rFonts w:ascii="Times New Roman" w:eastAsia="Calibri" w:hAnsi="Times New Roman"/>
                <w:szCs w:val="24"/>
                <w:lang w:eastAsia="en-US"/>
              </w:rPr>
            </w:pPr>
          </w:p>
          <w:p w14:paraId="7FB430C4" w14:textId="77777777" w:rsidR="00831977" w:rsidRPr="00A062E5"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A062E5">
              <w:rPr>
                <w:rFonts w:ascii="Times New Roman" w:hAnsi="Times New Roman"/>
                <w:szCs w:val="24"/>
              </w:rPr>
              <w:t>Vācijā n</w:t>
            </w:r>
            <w:r>
              <w:rPr>
                <w:rFonts w:ascii="Times New Roman" w:hAnsi="Times New Roman"/>
                <w:szCs w:val="24"/>
              </w:rPr>
              <w:t>av apstiprinājuma prasības</w:t>
            </w:r>
            <w:r w:rsidRPr="00A062E5">
              <w:rPr>
                <w:rFonts w:ascii="Times New Roman" w:hAnsi="Times New Roman"/>
                <w:szCs w:val="24"/>
              </w:rPr>
              <w:t xml:space="preserve"> militārā aprīko</w:t>
            </w:r>
            <w:r w:rsidRPr="008B0508">
              <w:rPr>
                <w:rFonts w:ascii="Times New Roman" w:hAnsi="Times New Roman"/>
                <w:szCs w:val="24"/>
              </w:rPr>
              <w:t>juma ražošanai saskaņā ar ML13.</w:t>
            </w:r>
          </w:p>
          <w:p w14:paraId="3EBFBE19" w14:textId="77777777" w:rsidR="00831977" w:rsidRPr="007E1183"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7E1183">
              <w:rPr>
                <w:rFonts w:ascii="Times New Roman" w:hAnsi="Times New Roman"/>
                <w:szCs w:val="24"/>
              </w:rPr>
              <w:t>Tas nav vajadzīgs Vācijas piegādātājiem.</w:t>
            </w:r>
            <w:r w:rsidRPr="008B0508">
              <w:rPr>
                <w:rFonts w:ascii="Times New Roman" w:hAnsi="Times New Roman"/>
                <w:szCs w:val="24"/>
              </w:rPr>
              <w:t xml:space="preserve"> </w:t>
            </w:r>
          </w:p>
          <w:p w14:paraId="5CEC9853" w14:textId="77777777" w:rsidR="00831977" w:rsidRPr="007E1183"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7E1183">
              <w:rPr>
                <w:rFonts w:ascii="Times New Roman" w:hAnsi="Times New Roman"/>
                <w:szCs w:val="24"/>
              </w:rPr>
              <w:t>Pastāv vispārēja eksporta licence:</w:t>
            </w:r>
          </w:p>
          <w:p w14:paraId="7B9CA0C9" w14:textId="77777777" w:rsidR="00831977"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7E1183">
              <w:rPr>
                <w:rFonts w:ascii="Times New Roman" w:hAnsi="Times New Roman"/>
                <w:szCs w:val="24"/>
              </w:rPr>
              <w:t>Tulkots izraksts no</w:t>
            </w:r>
            <w:r w:rsidRPr="008B0508">
              <w:rPr>
                <w:rFonts w:ascii="Times New Roman" w:hAnsi="Times New Roman"/>
                <w:szCs w:val="24"/>
              </w:rPr>
              <w:t xml:space="preserve"> Vispārējā</w:t>
            </w:r>
            <w:r w:rsidRPr="007E1183">
              <w:rPr>
                <w:rFonts w:ascii="Times New Roman" w:hAnsi="Times New Roman"/>
                <w:szCs w:val="24"/>
              </w:rPr>
              <w:t xml:space="preserve"> apstiprinājums Nr</w:t>
            </w:r>
            <w:r w:rsidRPr="008B0508">
              <w:rPr>
                <w:rFonts w:ascii="Times New Roman" w:hAnsi="Times New Roman"/>
                <w:szCs w:val="24"/>
              </w:rPr>
              <w:t>.21</w:t>
            </w:r>
            <w:r>
              <w:rPr>
                <w:rFonts w:ascii="Times New Roman" w:hAnsi="Times New Roman"/>
                <w:szCs w:val="24"/>
              </w:rPr>
              <w:t xml:space="preserve"> </w:t>
            </w:r>
            <w:r w:rsidRPr="007E1183">
              <w:rPr>
                <w:rFonts w:ascii="Times New Roman" w:hAnsi="Times New Roman"/>
                <w:szCs w:val="24"/>
              </w:rPr>
              <w:t>(Aizsarglīdzekļi)</w:t>
            </w:r>
            <w:r w:rsidRPr="008B0508">
              <w:rPr>
                <w:rFonts w:ascii="Times New Roman" w:hAnsi="Times New Roman"/>
                <w:szCs w:val="24"/>
              </w:rPr>
              <w:t xml:space="preserve"> </w:t>
            </w:r>
            <w:r w:rsidRPr="007E1183">
              <w:rPr>
                <w:rFonts w:ascii="Times New Roman" w:hAnsi="Times New Roman"/>
                <w:szCs w:val="24"/>
              </w:rPr>
              <w:t>no 2018. gada 16. marta</w:t>
            </w:r>
            <w:r w:rsidRPr="008B0508">
              <w:rPr>
                <w:rFonts w:ascii="Times New Roman" w:hAnsi="Times New Roman"/>
                <w:szCs w:val="24"/>
              </w:rPr>
              <w:t>.</w:t>
            </w:r>
          </w:p>
          <w:p w14:paraId="42D129CB" w14:textId="77777777" w:rsidR="00831977"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6D3D2470"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“…Development, manufacture or use of the goods specified in 4.1</w:t>
            </w:r>
          </w:p>
          <w:p w14:paraId="5DABD8C4"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Point 0013 of Part I, Section A, of the export list and for</w:t>
            </w:r>
          </w:p>
          <w:p w14:paraId="24A7CF9D"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the same consignee or end user of the goods referred to in 4.1</w:t>
            </w:r>
          </w:p>
          <w:p w14:paraId="54D48FE7"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Number 0013 of Part I, Section A of the export list.</w:t>
            </w:r>
          </w:p>
          <w:p w14:paraId="79A170E6"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5. Approved destinations</w:t>
            </w:r>
          </w:p>
          <w:p w14:paraId="41751B8B"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This General License applies to exports or transfers to recipients and</w:t>
            </w:r>
          </w:p>
          <w:p w14:paraId="44AE843B"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End-users in the following destinations:</w:t>
            </w:r>
          </w:p>
          <w:p w14:paraId="76139203" w14:textId="77777777" w:rsidR="00831977" w:rsidRPr="001549C0" w:rsidRDefault="00831977" w:rsidP="00C60F53">
            <w:pPr>
              <w:rPr>
                <w:rFonts w:ascii="Times New Roman" w:hAnsi="Times New Roman"/>
                <w:i/>
                <w:iCs/>
                <w:lang w:val="en-GB"/>
              </w:rPr>
            </w:pPr>
            <w:r w:rsidRPr="001549C0">
              <w:rPr>
                <w:rFonts w:ascii="Times New Roman" w:hAnsi="Times New Roman"/>
                <w:i/>
                <w:iCs/>
                <w:lang w:val="en-GB"/>
              </w:rPr>
              <w:t>5.1 the customs territory of the European Union (§ 2 (25) AWG)…”</w:t>
            </w:r>
          </w:p>
          <w:p w14:paraId="67D58156" w14:textId="77777777" w:rsidR="00831977" w:rsidRPr="008B0508"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val="en-GB"/>
              </w:rPr>
            </w:pPr>
          </w:p>
          <w:p w14:paraId="04CFB103" w14:textId="77777777" w:rsidR="00831977" w:rsidRPr="007E1183" w:rsidRDefault="00831977" w:rsidP="00C60F53">
            <w:pPr>
              <w:ind w:right="43"/>
              <w:jc w:val="both"/>
              <w:rPr>
                <w:rFonts w:ascii="Times New Roman" w:eastAsia="Calibri" w:hAnsi="Times New Roman"/>
                <w:szCs w:val="24"/>
                <w:lang w:eastAsia="en-US"/>
              </w:rPr>
            </w:pPr>
            <w:r w:rsidRPr="008B0508">
              <w:rPr>
                <w:rFonts w:ascii="Times New Roman" w:eastAsia="Calibri" w:hAnsi="Times New Roman"/>
                <w:szCs w:val="24"/>
                <w:lang w:eastAsia="en-US"/>
              </w:rPr>
              <w:t>Lūdzu, informējiet mūs, kā rīkoties tālāk.</w:t>
            </w:r>
          </w:p>
        </w:tc>
      </w:tr>
      <w:tr w:rsidR="00831977" w:rsidRPr="00AF039F" w14:paraId="59F411C4" w14:textId="77777777" w:rsidTr="00C60F53">
        <w:trPr>
          <w:trHeight w:val="904"/>
        </w:trPr>
        <w:tc>
          <w:tcPr>
            <w:tcW w:w="4503" w:type="dxa"/>
          </w:tcPr>
          <w:p w14:paraId="106B9AE9" w14:textId="77777777" w:rsidR="00831977" w:rsidRPr="00AF039F" w:rsidRDefault="00831977" w:rsidP="00C60F53">
            <w:pPr>
              <w:jc w:val="both"/>
              <w:rPr>
                <w:rFonts w:ascii="Times New Roman" w:hAnsi="Times New Roman"/>
                <w:b/>
                <w:szCs w:val="24"/>
                <w:lang w:val="en-US"/>
              </w:rPr>
            </w:pPr>
            <w:r w:rsidRPr="00AF039F">
              <w:rPr>
                <w:rFonts w:ascii="Times New Roman" w:hAnsi="Times New Roman"/>
                <w:b/>
                <w:szCs w:val="24"/>
                <w:lang w:val="en-US"/>
              </w:rPr>
              <w:t>Answer:</w:t>
            </w:r>
          </w:p>
          <w:p w14:paraId="0B22840F" w14:textId="77777777" w:rsidR="00831977" w:rsidRPr="00D47725" w:rsidRDefault="00831977" w:rsidP="00C60F53">
            <w:pPr>
              <w:jc w:val="both"/>
              <w:rPr>
                <w:rFonts w:ascii="Times New Roman" w:hAnsi="Times New Roman"/>
                <w:szCs w:val="24"/>
                <w:lang w:val="en-US"/>
              </w:rPr>
            </w:pPr>
            <w:r w:rsidRPr="00D47725">
              <w:rPr>
                <w:rFonts w:ascii="Times New Roman" w:hAnsi="Times New Roman"/>
                <w:szCs w:val="24"/>
                <w:lang w:val="en-US"/>
              </w:rPr>
              <w:t>The Candidate must submit an attested copy of special permits and/or licences for commercial activities with goods mentioned in the Common Military List of the European Union or equal document issued by competent institution thus acknowledging the Candidates rights to merchandise with relevant category military goods.</w:t>
            </w:r>
          </w:p>
          <w:p w14:paraId="4630FBC1" w14:textId="77777777" w:rsidR="00831977" w:rsidRPr="00BE1873" w:rsidRDefault="00831977" w:rsidP="00C60F53">
            <w:pPr>
              <w:jc w:val="both"/>
              <w:rPr>
                <w:rFonts w:ascii="Times New Roman" w:hAnsi="Times New Roman"/>
                <w:szCs w:val="24"/>
                <w:lang w:val="en-US"/>
              </w:rPr>
            </w:pPr>
            <w:r w:rsidRPr="00D47725">
              <w:rPr>
                <w:rFonts w:ascii="Times New Roman" w:hAnsi="Times New Roman"/>
                <w:szCs w:val="24"/>
                <w:lang w:val="en-US"/>
              </w:rPr>
              <w:t xml:space="preserve">An equal document may be, for example, an explanation or an acknowledgement issued by the competent authority/institution of the candidate's country of registration stating that at the request of the candidate for export licences, in the course of a commercial activity with military goods, the candidate will be issued the necessary permit/license or a previously issued export license to a similar product if the laws of that country provides for the procedure (providing an explanation of the regulatory framework) that the export licence of military goods are issued based on the conclusion of the supply contract (request from client/end user). </w:t>
            </w:r>
          </w:p>
        </w:tc>
        <w:tc>
          <w:tcPr>
            <w:tcW w:w="4503" w:type="dxa"/>
          </w:tcPr>
          <w:p w14:paraId="6036FFD1" w14:textId="77777777" w:rsidR="00831977" w:rsidRPr="00AF039F" w:rsidRDefault="00831977" w:rsidP="00C60F53">
            <w:pPr>
              <w:widowControl w:val="0"/>
              <w:ind w:right="103"/>
              <w:jc w:val="both"/>
              <w:rPr>
                <w:rFonts w:ascii="Times New Roman" w:hAnsi="Times New Roman"/>
                <w:b/>
                <w:szCs w:val="24"/>
              </w:rPr>
            </w:pPr>
            <w:r w:rsidRPr="00AF039F">
              <w:rPr>
                <w:rFonts w:ascii="Times New Roman" w:hAnsi="Times New Roman"/>
                <w:b/>
                <w:szCs w:val="24"/>
              </w:rPr>
              <w:t>Atbilde:</w:t>
            </w:r>
          </w:p>
          <w:p w14:paraId="3900D390" w14:textId="77777777" w:rsidR="00831977" w:rsidRPr="005F0BF2" w:rsidRDefault="00831977" w:rsidP="00C60F53">
            <w:pPr>
              <w:jc w:val="both"/>
              <w:rPr>
                <w:rFonts w:ascii="Times New Roman" w:hAnsi="Times New Roman"/>
                <w:szCs w:val="24"/>
              </w:rPr>
            </w:pPr>
            <w:r w:rsidRPr="005F0BF2">
              <w:rPr>
                <w:rFonts w:ascii="Times New Roman" w:hAnsi="Times New Roman"/>
                <w:szCs w:val="24"/>
              </w:rPr>
              <w:t>Kandidātam ir jāiesniedz speciālās atļaujas un/vai licences komercdarbībai ar Eiropas Savienības Kopējā militāro preču sarakstā minētajām precēm apliecināta kopija vai līdzvērtīgs dokuments, ko izsniegusi kompetenta iestāde, pierādot kandidāta tiesības veikt komercdarbību ar attiecīgās kategorijas militārajām precēm.</w:t>
            </w:r>
          </w:p>
          <w:p w14:paraId="6FC0FE98" w14:textId="77777777" w:rsidR="00831977" w:rsidRPr="00AF039F" w:rsidRDefault="00831977" w:rsidP="00C60F53">
            <w:pPr>
              <w:jc w:val="both"/>
              <w:rPr>
                <w:rFonts w:ascii="Times New Roman" w:hAnsi="Times New Roman"/>
                <w:szCs w:val="24"/>
              </w:rPr>
            </w:pPr>
            <w:r w:rsidRPr="005F0BF2">
              <w:rPr>
                <w:rFonts w:ascii="Times New Roman" w:hAnsi="Times New Roman"/>
                <w:szCs w:val="24"/>
              </w:rPr>
              <w:t xml:space="preserve">Līdzvērtīgs dokuments var būt, piemēram, kandidāta reģistrācijas valstī kompetentās iestādes/institūcijas izsniegts skaidrojums vai apliecinājums, kurā ir norādīts, ka pēc kandidāta pieprasījuma par eksporta licenču izsniegšanu, veicot komercdarbību ar militārajām precēm, kandidātam tiks izsniegtas nepieciešamās atļaujas/licences vai iepriekš izsniegta eksporta licence uz līdzīgu preci, ja attiecīgās valsts normatīvie akti paredz kārtību (sniedzot skaidrojumu par normatīvo regulējumu), ka eksporta licences militārajām precēm tiek izsniegtas, balstoties uz noslēgtu piegādes līgumu (pieprasījumu no klienta/gala lietotāja). </w:t>
            </w:r>
          </w:p>
        </w:tc>
      </w:tr>
      <w:tr w:rsidR="00831977" w:rsidRPr="00AF039F" w14:paraId="09BB88F7" w14:textId="77777777" w:rsidTr="00C60F53">
        <w:trPr>
          <w:trHeight w:val="904"/>
        </w:trPr>
        <w:tc>
          <w:tcPr>
            <w:tcW w:w="4503" w:type="dxa"/>
          </w:tcPr>
          <w:p w14:paraId="035A727C" w14:textId="77777777" w:rsidR="00831977" w:rsidRPr="00AF039F" w:rsidRDefault="00831977" w:rsidP="00C60F53">
            <w:pPr>
              <w:jc w:val="both"/>
              <w:rPr>
                <w:rFonts w:ascii="Times New Roman" w:hAnsi="Times New Roman"/>
                <w:b/>
                <w:szCs w:val="24"/>
                <w:lang w:val="en-US"/>
              </w:rPr>
            </w:pPr>
            <w:r w:rsidRPr="00AF039F">
              <w:rPr>
                <w:rFonts w:ascii="Times New Roman" w:hAnsi="Times New Roman"/>
                <w:b/>
                <w:szCs w:val="24"/>
                <w:lang w:val="en-US"/>
              </w:rPr>
              <w:t>Question No.2:</w:t>
            </w:r>
          </w:p>
          <w:p w14:paraId="3FE6B033" w14:textId="77777777" w:rsidR="00831977" w:rsidRDefault="00831977" w:rsidP="00C60F53">
            <w:pPr>
              <w:jc w:val="both"/>
              <w:rPr>
                <w:rFonts w:ascii="Times New Roman" w:hAnsi="Times New Roman"/>
                <w:lang w:val="en-GB"/>
              </w:rPr>
            </w:pPr>
            <w:r w:rsidRPr="001549C0">
              <w:rPr>
                <w:rFonts w:ascii="Times New Roman" w:hAnsi="Times New Roman"/>
                <w:lang w:val="en-GB"/>
              </w:rPr>
              <w:t>Since the time for research, collection of documents, binding and providing the documents personally or by mail to the recipients address in Riga  is certainly to short, we would kindly ask the commission to extend the deadline for submission of applications.</w:t>
            </w:r>
          </w:p>
          <w:p w14:paraId="1002745D" w14:textId="77777777" w:rsidR="00831977" w:rsidRPr="001549C0" w:rsidRDefault="00831977" w:rsidP="00C60F53">
            <w:pPr>
              <w:jc w:val="both"/>
              <w:rPr>
                <w:rFonts w:ascii="Times New Roman" w:hAnsi="Times New Roman"/>
                <w:lang w:val="en-GB"/>
              </w:rPr>
            </w:pPr>
          </w:p>
        </w:tc>
        <w:tc>
          <w:tcPr>
            <w:tcW w:w="4503" w:type="dxa"/>
          </w:tcPr>
          <w:p w14:paraId="4936D379" w14:textId="77777777" w:rsidR="00831977" w:rsidRPr="00AF039F" w:rsidRDefault="00831977" w:rsidP="00C60F53">
            <w:pPr>
              <w:jc w:val="both"/>
              <w:rPr>
                <w:rFonts w:ascii="Times New Roman" w:hAnsi="Times New Roman"/>
                <w:b/>
                <w:szCs w:val="24"/>
              </w:rPr>
            </w:pPr>
            <w:r w:rsidRPr="00AF039F">
              <w:rPr>
                <w:rFonts w:ascii="Times New Roman" w:hAnsi="Times New Roman"/>
                <w:b/>
                <w:szCs w:val="24"/>
              </w:rPr>
              <w:t>Jautājums Nr.2:</w:t>
            </w:r>
          </w:p>
          <w:p w14:paraId="575BB1EE" w14:textId="77777777" w:rsidR="00831977" w:rsidRPr="00616ACD" w:rsidRDefault="00831977" w:rsidP="00C60F53">
            <w:pPr>
              <w:widowControl w:val="0"/>
              <w:ind w:right="103"/>
              <w:jc w:val="both"/>
              <w:rPr>
                <w:rFonts w:ascii="Times New Roman" w:hAnsi="Times New Roman"/>
                <w:szCs w:val="24"/>
              </w:rPr>
            </w:pPr>
            <w:r>
              <w:rPr>
                <w:rFonts w:ascii="Times New Roman" w:hAnsi="Times New Roman"/>
                <w:szCs w:val="24"/>
              </w:rPr>
              <w:t>Tā kā izpētes laiks</w:t>
            </w:r>
            <w:r w:rsidRPr="00616ACD">
              <w:rPr>
                <w:rFonts w:ascii="Times New Roman" w:hAnsi="Times New Roman"/>
                <w:szCs w:val="24"/>
              </w:rPr>
              <w:t xml:space="preserve">, dokumentu vākšana, </w:t>
            </w:r>
            <w:r>
              <w:rPr>
                <w:rFonts w:ascii="Times New Roman" w:hAnsi="Times New Roman"/>
                <w:szCs w:val="24"/>
              </w:rPr>
              <w:t>iesiešana un dokumentu iesniegšana personīgi, vai pa pastu adresātam</w:t>
            </w:r>
            <w:r w:rsidRPr="00616ACD">
              <w:rPr>
                <w:rFonts w:ascii="Times New Roman" w:hAnsi="Times New Roman"/>
                <w:szCs w:val="24"/>
              </w:rPr>
              <w:t xml:space="preserve"> Rīgā</w:t>
            </w:r>
            <w:r>
              <w:rPr>
                <w:rFonts w:ascii="Times New Roman" w:hAnsi="Times New Roman"/>
                <w:szCs w:val="24"/>
              </w:rPr>
              <w:t>, noteikti ir īss, mēs lūdzam k</w:t>
            </w:r>
            <w:r w:rsidRPr="00616ACD">
              <w:rPr>
                <w:rFonts w:ascii="Times New Roman" w:hAnsi="Times New Roman"/>
                <w:szCs w:val="24"/>
              </w:rPr>
              <w:t>omisiju pagarināt pieteikumu iesniegšanas termiņu.</w:t>
            </w:r>
          </w:p>
          <w:p w14:paraId="73C5E3A8" w14:textId="77777777" w:rsidR="00831977" w:rsidRPr="00AF039F" w:rsidRDefault="00831977" w:rsidP="00C60F53">
            <w:pPr>
              <w:widowControl w:val="0"/>
              <w:ind w:right="103"/>
              <w:jc w:val="both"/>
              <w:rPr>
                <w:rFonts w:ascii="Times New Roman" w:hAnsi="Times New Roman"/>
                <w:szCs w:val="24"/>
              </w:rPr>
            </w:pPr>
          </w:p>
        </w:tc>
      </w:tr>
      <w:tr w:rsidR="00831977" w:rsidRPr="00AF039F" w14:paraId="1961C93B" w14:textId="77777777" w:rsidTr="00C60F53">
        <w:trPr>
          <w:trHeight w:val="904"/>
        </w:trPr>
        <w:tc>
          <w:tcPr>
            <w:tcW w:w="4503" w:type="dxa"/>
          </w:tcPr>
          <w:p w14:paraId="7A82129D" w14:textId="77777777" w:rsidR="00831977" w:rsidRPr="00D25EF4" w:rsidRDefault="00831977" w:rsidP="00C60F53">
            <w:pPr>
              <w:jc w:val="both"/>
              <w:rPr>
                <w:rFonts w:ascii="Times New Roman" w:hAnsi="Times New Roman"/>
                <w:b/>
                <w:szCs w:val="24"/>
                <w:lang w:val="en-US"/>
              </w:rPr>
            </w:pPr>
            <w:r w:rsidRPr="00D25EF4">
              <w:rPr>
                <w:rFonts w:ascii="Times New Roman" w:hAnsi="Times New Roman"/>
                <w:b/>
                <w:szCs w:val="24"/>
                <w:lang w:val="en-US"/>
              </w:rPr>
              <w:t>Answer:</w:t>
            </w:r>
          </w:p>
          <w:p w14:paraId="6B111BA6" w14:textId="77777777" w:rsidR="00831977" w:rsidRDefault="00831977" w:rsidP="00C60F53">
            <w:pPr>
              <w:jc w:val="both"/>
              <w:rPr>
                <w:rFonts w:ascii="Times New Roman" w:hAnsi="Times New Roman"/>
                <w:szCs w:val="24"/>
              </w:rPr>
            </w:pPr>
            <w:r w:rsidRPr="00DC0032">
              <w:rPr>
                <w:rFonts w:ascii="Times New Roman" w:hAnsi="Times New Roman"/>
                <w:szCs w:val="24"/>
                <w:lang w:val="en-US"/>
              </w:rPr>
              <w:t xml:space="preserve">Procurement Committee extend the deadline for submitting the </w:t>
            </w:r>
            <w:r>
              <w:rPr>
                <w:rFonts w:ascii="Times New Roman" w:hAnsi="Times New Roman"/>
                <w:szCs w:val="24"/>
                <w:lang w:val="en-US"/>
              </w:rPr>
              <w:t>Application till 14:00 pm, 4</w:t>
            </w:r>
            <w:r>
              <w:rPr>
                <w:rFonts w:ascii="Times New Roman" w:hAnsi="Times New Roman"/>
                <w:szCs w:val="24"/>
                <w:vertAlign w:val="superscript"/>
                <w:lang w:val="en-US"/>
              </w:rPr>
              <w:t xml:space="preserve"> </w:t>
            </w:r>
            <w:r w:rsidRPr="00E74037">
              <w:rPr>
                <w:rFonts w:ascii="Times New Roman" w:hAnsi="Times New Roman"/>
                <w:szCs w:val="24"/>
                <w:lang w:val="en-US"/>
              </w:rPr>
              <w:t>April</w:t>
            </w:r>
            <w:r w:rsidRPr="00E74037">
              <w:rPr>
                <w:rFonts w:ascii="Times New Roman" w:hAnsi="Times New Roman"/>
                <w:szCs w:val="24"/>
              </w:rPr>
              <w:t>, 2019</w:t>
            </w:r>
            <w:r w:rsidRPr="00DC0032">
              <w:rPr>
                <w:rFonts w:ascii="Times New Roman" w:hAnsi="Times New Roman"/>
                <w:szCs w:val="24"/>
              </w:rPr>
              <w:t>.</w:t>
            </w:r>
          </w:p>
          <w:p w14:paraId="0A5EB102" w14:textId="77777777" w:rsidR="00831977" w:rsidRPr="00AA3A86" w:rsidRDefault="00831977" w:rsidP="00C60F53">
            <w:pPr>
              <w:jc w:val="both"/>
              <w:rPr>
                <w:rFonts w:ascii="Times New Roman" w:hAnsi="Times New Roman"/>
                <w:szCs w:val="24"/>
                <w:lang w:val="en-US"/>
              </w:rPr>
            </w:pPr>
            <w:r>
              <w:rPr>
                <w:rFonts w:ascii="Times New Roman" w:hAnsi="Times New Roman"/>
                <w:szCs w:val="24"/>
                <w:lang w:val="en-US"/>
              </w:rPr>
              <w:t>Accordingly</w:t>
            </w:r>
            <w:r w:rsidRPr="00AA3A86">
              <w:rPr>
                <w:rFonts w:ascii="Times New Roman" w:hAnsi="Times New Roman"/>
                <w:szCs w:val="24"/>
                <w:lang w:val="en-US"/>
              </w:rPr>
              <w:t xml:space="preserve"> changes are made to the date specified in </w:t>
            </w:r>
            <w:r>
              <w:rPr>
                <w:rFonts w:ascii="Times New Roman" w:hAnsi="Times New Roman"/>
                <w:szCs w:val="24"/>
                <w:lang w:val="en-US"/>
              </w:rPr>
              <w:t>the Clause</w:t>
            </w:r>
            <w:r w:rsidRPr="00AA3A86">
              <w:rPr>
                <w:rFonts w:ascii="Times New Roman" w:hAnsi="Times New Roman"/>
                <w:szCs w:val="24"/>
                <w:lang w:val="en-US"/>
              </w:rPr>
              <w:t xml:space="preserve"> 4.1.1, 4.3.9.2 and 6.2.4 of the Regulation</w:t>
            </w:r>
            <w:r>
              <w:rPr>
                <w:rFonts w:ascii="Times New Roman" w:hAnsi="Times New Roman"/>
                <w:szCs w:val="24"/>
                <w:lang w:val="en-US"/>
              </w:rPr>
              <w:t xml:space="preserve"> of Negotiated Procedure. </w:t>
            </w:r>
          </w:p>
        </w:tc>
        <w:tc>
          <w:tcPr>
            <w:tcW w:w="4503" w:type="dxa"/>
          </w:tcPr>
          <w:p w14:paraId="6DB95D62" w14:textId="77777777" w:rsidR="00831977" w:rsidRPr="00AF039F" w:rsidRDefault="00831977" w:rsidP="00C60F53">
            <w:pPr>
              <w:widowControl w:val="0"/>
              <w:ind w:right="103"/>
              <w:jc w:val="both"/>
              <w:rPr>
                <w:rFonts w:ascii="Times New Roman" w:hAnsi="Times New Roman"/>
                <w:b/>
                <w:szCs w:val="24"/>
              </w:rPr>
            </w:pPr>
            <w:r w:rsidRPr="00AF039F">
              <w:rPr>
                <w:rFonts w:ascii="Times New Roman" w:hAnsi="Times New Roman"/>
                <w:b/>
                <w:szCs w:val="24"/>
              </w:rPr>
              <w:t>Atbilde:</w:t>
            </w:r>
          </w:p>
          <w:p w14:paraId="7B4079A0" w14:textId="77777777" w:rsidR="00831977" w:rsidRDefault="00831977" w:rsidP="00C60F53">
            <w:pPr>
              <w:jc w:val="both"/>
              <w:rPr>
                <w:rFonts w:ascii="Times New Roman" w:hAnsi="Times New Roman"/>
                <w:szCs w:val="24"/>
              </w:rPr>
            </w:pPr>
            <w:r w:rsidRPr="00DC0032">
              <w:rPr>
                <w:rFonts w:ascii="Times New Roman" w:hAnsi="Times New Roman"/>
                <w:szCs w:val="24"/>
              </w:rPr>
              <w:t xml:space="preserve">Iepirkuma komisija pagarina </w:t>
            </w:r>
            <w:r>
              <w:rPr>
                <w:rFonts w:ascii="Times New Roman" w:hAnsi="Times New Roman"/>
                <w:szCs w:val="24"/>
              </w:rPr>
              <w:t>pieteikumu</w:t>
            </w:r>
            <w:r w:rsidRPr="00DC0032">
              <w:rPr>
                <w:rFonts w:ascii="Times New Roman" w:hAnsi="Times New Roman"/>
                <w:szCs w:val="24"/>
              </w:rPr>
              <w:t xml:space="preserve"> iesniegšanas laiku līdz 201</w:t>
            </w:r>
            <w:r>
              <w:rPr>
                <w:rFonts w:ascii="Times New Roman" w:hAnsi="Times New Roman"/>
                <w:szCs w:val="24"/>
              </w:rPr>
              <w:t>9.gada 4.aprīļa plkst. 14</w:t>
            </w:r>
            <w:r w:rsidRPr="00DC0032">
              <w:rPr>
                <w:rFonts w:ascii="Times New Roman" w:hAnsi="Times New Roman"/>
                <w:szCs w:val="24"/>
              </w:rPr>
              <w:t xml:space="preserve">.00. </w:t>
            </w:r>
          </w:p>
          <w:p w14:paraId="7386E73B" w14:textId="77777777" w:rsidR="00831977" w:rsidRPr="00AF039F" w:rsidRDefault="00831977" w:rsidP="00C60F53">
            <w:pPr>
              <w:jc w:val="both"/>
              <w:rPr>
                <w:rFonts w:ascii="Times New Roman" w:hAnsi="Times New Roman"/>
                <w:szCs w:val="24"/>
              </w:rPr>
            </w:pPr>
            <w:r>
              <w:rPr>
                <w:rFonts w:ascii="Times New Roman" w:hAnsi="Times New Roman"/>
                <w:szCs w:val="24"/>
              </w:rPr>
              <w:t>Ar šo attiecīgi tiek veiktas izmaiņas nolikuma 4.1.1., 4.3.9.2. un 6.2.4.punktos norādītajā datumā.</w:t>
            </w:r>
          </w:p>
        </w:tc>
      </w:tr>
      <w:tr w:rsidR="00831977" w:rsidRPr="00AF039F" w14:paraId="73696011" w14:textId="77777777" w:rsidTr="00C60F53">
        <w:trPr>
          <w:trHeight w:val="904"/>
        </w:trPr>
        <w:tc>
          <w:tcPr>
            <w:tcW w:w="4503" w:type="dxa"/>
          </w:tcPr>
          <w:p w14:paraId="5771AD94" w14:textId="77777777" w:rsidR="00831977" w:rsidRPr="00AF039F" w:rsidRDefault="00831977" w:rsidP="00C60F53">
            <w:pPr>
              <w:jc w:val="both"/>
              <w:rPr>
                <w:rFonts w:ascii="Times New Roman" w:hAnsi="Times New Roman"/>
                <w:b/>
                <w:szCs w:val="24"/>
                <w:lang w:val="en-US"/>
              </w:rPr>
            </w:pPr>
            <w:r>
              <w:rPr>
                <w:rFonts w:ascii="Times New Roman" w:hAnsi="Times New Roman"/>
                <w:b/>
                <w:szCs w:val="24"/>
                <w:lang w:val="en-US"/>
              </w:rPr>
              <w:t>Question No.3</w:t>
            </w:r>
            <w:r w:rsidRPr="00AF039F">
              <w:rPr>
                <w:rFonts w:ascii="Times New Roman" w:hAnsi="Times New Roman"/>
                <w:b/>
                <w:szCs w:val="24"/>
                <w:lang w:val="en-US"/>
              </w:rPr>
              <w:t>:</w:t>
            </w:r>
          </w:p>
          <w:p w14:paraId="3F1CFC1B" w14:textId="77777777" w:rsidR="00831977" w:rsidRDefault="00831977" w:rsidP="00C60F53">
            <w:pPr>
              <w:jc w:val="both"/>
              <w:rPr>
                <w:szCs w:val="24"/>
              </w:rPr>
            </w:pPr>
            <w:r w:rsidRPr="008671A5">
              <w:rPr>
                <w:rFonts w:ascii="Times New Roman" w:hAnsi="Times New Roman"/>
                <w:szCs w:val="24"/>
                <w:lang w:val="en-US"/>
              </w:rPr>
              <w:t>Equipment set: “1</w:t>
            </w:r>
            <w:r w:rsidRPr="008671A5">
              <w:rPr>
                <w:rFonts w:ascii="Times New Roman" w:hAnsi="Times New Roman"/>
                <w:szCs w:val="24"/>
                <w:lang w:val="en-GB"/>
              </w:rPr>
              <w:t>. Modular combat body armour/ modular load carrying vest with first and second level armour elements and additional protection elements – collar, throat, shoulders, upper arm and groin protectors (incl</w:t>
            </w:r>
            <w:r>
              <w:rPr>
                <w:rFonts w:ascii="Times New Roman" w:hAnsi="Times New Roman"/>
                <w:szCs w:val="24"/>
                <w:lang w:val="en-GB"/>
              </w:rPr>
              <w:t>uding lower abdomen protectors)</w:t>
            </w:r>
            <w:r>
              <w:rPr>
                <w:szCs w:val="24"/>
              </w:rPr>
              <w:t>”.</w:t>
            </w:r>
          </w:p>
          <w:p w14:paraId="56005C84" w14:textId="77777777" w:rsidR="00831977" w:rsidRDefault="00831977" w:rsidP="00C60F53">
            <w:pPr>
              <w:jc w:val="both"/>
              <w:rPr>
                <w:rFonts w:ascii="Times New Roman" w:hAnsi="Times New Roman"/>
                <w:szCs w:val="24"/>
                <w:lang w:val="en"/>
              </w:rPr>
            </w:pPr>
            <w:r w:rsidRPr="008671A5">
              <w:rPr>
                <w:rFonts w:ascii="Times New Roman" w:hAnsi="Times New Roman"/>
                <w:szCs w:val="24"/>
                <w:lang w:val="en"/>
              </w:rPr>
              <w:t xml:space="preserve">Please provide additional explanation on the elements of </w:t>
            </w:r>
            <w:r>
              <w:rPr>
                <w:rFonts w:ascii="Times New Roman" w:hAnsi="Times New Roman"/>
                <w:szCs w:val="24"/>
                <w:lang w:val="en"/>
              </w:rPr>
              <w:t>first</w:t>
            </w:r>
            <w:r w:rsidRPr="008671A5">
              <w:rPr>
                <w:rFonts w:ascii="Times New Roman" w:hAnsi="Times New Roman"/>
                <w:szCs w:val="24"/>
                <w:lang w:val="en"/>
              </w:rPr>
              <w:t xml:space="preserve"> and </w:t>
            </w:r>
            <w:r>
              <w:rPr>
                <w:rFonts w:ascii="Times New Roman" w:hAnsi="Times New Roman"/>
                <w:szCs w:val="24"/>
                <w:lang w:val="en"/>
              </w:rPr>
              <w:t>second</w:t>
            </w:r>
            <w:r w:rsidRPr="008671A5">
              <w:rPr>
                <w:rFonts w:ascii="Times New Roman" w:hAnsi="Times New Roman"/>
                <w:szCs w:val="24"/>
                <w:lang w:val="en"/>
              </w:rPr>
              <w:t xml:space="preserve"> harness. Does it refer to hard and soft ballistic protection?</w:t>
            </w:r>
          </w:p>
          <w:p w14:paraId="66EA2372" w14:textId="77777777" w:rsidR="00831977" w:rsidRPr="008671A5" w:rsidRDefault="00831977" w:rsidP="00C60F53">
            <w:pPr>
              <w:jc w:val="both"/>
              <w:rPr>
                <w:rFonts w:ascii="Times New Roman" w:hAnsi="Times New Roman"/>
                <w:szCs w:val="24"/>
              </w:rPr>
            </w:pPr>
          </w:p>
        </w:tc>
        <w:tc>
          <w:tcPr>
            <w:tcW w:w="4503" w:type="dxa"/>
          </w:tcPr>
          <w:p w14:paraId="3F5EB10B"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Nr.3</w:t>
            </w:r>
            <w:r w:rsidRPr="00AF039F">
              <w:rPr>
                <w:rFonts w:ascii="Times New Roman" w:hAnsi="Times New Roman"/>
                <w:b/>
                <w:szCs w:val="24"/>
              </w:rPr>
              <w:t>:</w:t>
            </w:r>
          </w:p>
          <w:p w14:paraId="2EBACAAA" w14:textId="77777777" w:rsidR="00831977" w:rsidRPr="00B41B41" w:rsidRDefault="00831977" w:rsidP="00C60F53">
            <w:pPr>
              <w:jc w:val="both"/>
              <w:rPr>
                <w:rFonts w:ascii="Times New Roman" w:hAnsi="Times New Roman"/>
                <w:color w:val="000000" w:themeColor="text1"/>
              </w:rPr>
            </w:pPr>
            <w:r w:rsidRPr="00B41B41">
              <w:rPr>
                <w:rFonts w:ascii="Times New Roman" w:hAnsi="Times New Roman"/>
                <w:color w:val="000000" w:themeColor="text1"/>
              </w:rPr>
              <w:t>Komplektācija: “1. Modulārā bruņu/uzkabes veste ar 1. un 2. līmeņa uzkabes bruņu elementiem un papildu aizsardzības elementi - kakla, rīkles, plecu, augšdelmu un cirkšņa aizsargi (ietverot vēdera lejas daļas aizsargu)”</w:t>
            </w:r>
          </w:p>
          <w:p w14:paraId="4EFDA32A" w14:textId="77777777" w:rsidR="00831977" w:rsidRPr="00B41B41" w:rsidRDefault="00831977" w:rsidP="00C60F53">
            <w:pPr>
              <w:jc w:val="both"/>
              <w:rPr>
                <w:rFonts w:ascii="Times New Roman" w:hAnsi="Times New Roman"/>
                <w:color w:val="000000" w:themeColor="text1"/>
              </w:rPr>
            </w:pPr>
            <w:r w:rsidRPr="00B41B41">
              <w:rPr>
                <w:rFonts w:ascii="Times New Roman" w:hAnsi="Times New Roman"/>
                <w:color w:val="000000" w:themeColor="text1"/>
              </w:rPr>
              <w:t xml:space="preserve">Lūdzam sniegt papildus skaidrojumu par 1.un 2.līmeņa uzkabes bruņu elementiem. Vai tas attiecināms uz cieto un mīksto ballistisko aizsargmateriālu? </w:t>
            </w:r>
          </w:p>
        </w:tc>
      </w:tr>
      <w:tr w:rsidR="00831977" w:rsidRPr="00AF039F" w14:paraId="07FEBE66" w14:textId="77777777" w:rsidTr="00C60F53">
        <w:trPr>
          <w:trHeight w:val="904"/>
        </w:trPr>
        <w:tc>
          <w:tcPr>
            <w:tcW w:w="4503" w:type="dxa"/>
          </w:tcPr>
          <w:p w14:paraId="2C9755E7" w14:textId="77777777" w:rsidR="00831977" w:rsidRPr="00AF039F" w:rsidRDefault="00831977" w:rsidP="00C60F53">
            <w:pPr>
              <w:jc w:val="both"/>
              <w:rPr>
                <w:rFonts w:ascii="Times New Roman" w:hAnsi="Times New Roman"/>
                <w:b/>
                <w:szCs w:val="24"/>
                <w:lang w:val="en-US"/>
              </w:rPr>
            </w:pPr>
            <w:r w:rsidRPr="00AF039F">
              <w:rPr>
                <w:rFonts w:ascii="Times New Roman" w:hAnsi="Times New Roman"/>
                <w:b/>
                <w:szCs w:val="24"/>
                <w:lang w:val="en-US"/>
              </w:rPr>
              <w:t>Answer:</w:t>
            </w:r>
          </w:p>
          <w:p w14:paraId="44C73DC8" w14:textId="77777777" w:rsidR="00831977" w:rsidRPr="00464F50"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sidRPr="00464F50">
              <w:rPr>
                <w:rFonts w:ascii="Times New Roman" w:hAnsi="Times New Roman"/>
                <w:szCs w:val="24"/>
                <w:lang w:val="en"/>
              </w:rPr>
              <w:t xml:space="preserve">The Procurement Committee indicates that candidates who will </w:t>
            </w:r>
            <w:r>
              <w:rPr>
                <w:rFonts w:ascii="Times New Roman" w:hAnsi="Times New Roman"/>
                <w:szCs w:val="24"/>
                <w:lang w:val="en"/>
              </w:rPr>
              <w:t>apply for participation in the Negotiated P</w:t>
            </w:r>
            <w:r w:rsidRPr="00464F50">
              <w:rPr>
                <w:rFonts w:ascii="Times New Roman" w:hAnsi="Times New Roman"/>
                <w:szCs w:val="24"/>
                <w:lang w:val="en"/>
              </w:rPr>
              <w:t>rocedure and wi</w:t>
            </w:r>
            <w:r>
              <w:rPr>
                <w:rFonts w:ascii="Times New Roman" w:hAnsi="Times New Roman"/>
                <w:szCs w:val="24"/>
                <w:lang w:val="en"/>
              </w:rPr>
              <w:t>ll pass the first stage of the Negotiated P</w:t>
            </w:r>
            <w:r w:rsidRPr="00464F50">
              <w:rPr>
                <w:rFonts w:ascii="Times New Roman" w:hAnsi="Times New Roman"/>
                <w:szCs w:val="24"/>
                <w:lang w:val="en"/>
              </w:rPr>
              <w:t xml:space="preserve">rocedure - the </w:t>
            </w:r>
            <w:r>
              <w:rPr>
                <w:rFonts w:ascii="Times New Roman" w:hAnsi="Times New Roman"/>
                <w:szCs w:val="24"/>
                <w:lang w:val="en"/>
              </w:rPr>
              <w:t xml:space="preserve">qualification </w:t>
            </w:r>
            <w:r w:rsidRPr="00464F50">
              <w:rPr>
                <w:rFonts w:ascii="Times New Roman" w:hAnsi="Times New Roman"/>
                <w:szCs w:val="24"/>
                <w:lang w:val="en"/>
              </w:rPr>
              <w:t>check - will be invited to submit a financial and technical offer in accordance with the requirements set out in the Invitation, including the requirements of the Technical Specification. The full technical specification will be issued to candidates who have passed the qualification</w:t>
            </w:r>
            <w:r>
              <w:rPr>
                <w:rFonts w:ascii="Times New Roman" w:hAnsi="Times New Roman"/>
                <w:szCs w:val="24"/>
                <w:lang w:val="en"/>
              </w:rPr>
              <w:t xml:space="preserve"> and will be invited to submit an offer</w:t>
            </w:r>
            <w:r w:rsidRPr="00464F50">
              <w:rPr>
                <w:rFonts w:ascii="Times New Roman" w:hAnsi="Times New Roman"/>
                <w:szCs w:val="24"/>
                <w:lang w:val="en"/>
              </w:rPr>
              <w:t xml:space="preserve">. Consequently, </w:t>
            </w:r>
            <w:r>
              <w:rPr>
                <w:rFonts w:ascii="Times New Roman" w:hAnsi="Times New Roman"/>
                <w:szCs w:val="24"/>
                <w:lang w:val="en"/>
              </w:rPr>
              <w:t>the Procurement Committee will provide the T</w:t>
            </w:r>
            <w:r w:rsidRPr="00464F50">
              <w:rPr>
                <w:rFonts w:ascii="Times New Roman" w:hAnsi="Times New Roman"/>
                <w:szCs w:val="24"/>
                <w:lang w:val="en"/>
              </w:rPr>
              <w:t>enderers with the answers to the technical specification in the second stage of the procedure, which will have passed the selection of candidates and wi</w:t>
            </w:r>
            <w:r>
              <w:rPr>
                <w:rFonts w:ascii="Times New Roman" w:hAnsi="Times New Roman"/>
                <w:szCs w:val="24"/>
                <w:lang w:val="en"/>
              </w:rPr>
              <w:t>ll be invited to submit an offer</w:t>
            </w:r>
            <w:r w:rsidRPr="00464F50">
              <w:rPr>
                <w:rFonts w:ascii="Times New Roman" w:hAnsi="Times New Roman"/>
                <w:szCs w:val="24"/>
                <w:lang w:val="en"/>
              </w:rPr>
              <w:t>.</w:t>
            </w:r>
          </w:p>
        </w:tc>
        <w:tc>
          <w:tcPr>
            <w:tcW w:w="4503" w:type="dxa"/>
          </w:tcPr>
          <w:p w14:paraId="2A9A0AB5" w14:textId="77777777" w:rsidR="00831977" w:rsidRPr="00AF039F" w:rsidRDefault="00831977" w:rsidP="00C60F53">
            <w:pPr>
              <w:widowControl w:val="0"/>
              <w:ind w:right="103"/>
              <w:jc w:val="both"/>
              <w:rPr>
                <w:rFonts w:ascii="Times New Roman" w:hAnsi="Times New Roman"/>
                <w:b/>
                <w:szCs w:val="24"/>
              </w:rPr>
            </w:pPr>
            <w:r w:rsidRPr="00AF039F">
              <w:rPr>
                <w:rFonts w:ascii="Times New Roman" w:hAnsi="Times New Roman"/>
                <w:b/>
                <w:szCs w:val="24"/>
              </w:rPr>
              <w:t>Atbilde:</w:t>
            </w:r>
          </w:p>
          <w:p w14:paraId="72998E8D" w14:textId="77777777" w:rsidR="00831977" w:rsidRPr="00B662EF" w:rsidRDefault="00831977" w:rsidP="00C60F53">
            <w:pPr>
              <w:widowControl w:val="0"/>
              <w:ind w:right="103"/>
              <w:jc w:val="both"/>
              <w:rPr>
                <w:rFonts w:ascii="Times New Roman" w:hAnsi="Times New Roman"/>
                <w:color w:val="FF0000"/>
                <w:szCs w:val="24"/>
              </w:rPr>
            </w:pPr>
            <w:r w:rsidRPr="008671A5">
              <w:rPr>
                <w:rFonts w:ascii="Times New Roman" w:hAnsi="Times New Roman"/>
                <w:szCs w:val="24"/>
              </w:rPr>
              <w:t>Iepirkuma komisija norāda, ka kandidāti, kas iesniegs pieteikumu dalībai sarunu procedūrā un izturēs sarunu procedūras pirmo posmu – kvalifikācijas pārbaudi, tiks uzaicināti iesniegt finanšu un tehnisko piedāvājumu atbilstoši Uzaicinājumā noteiktajām prasībām, tajā skaitā atbilstoši tehniskās specifikācijas prasībām. Tehniskā specifikācija pilnā apmērā tiks izsniegta kandidātiem, kuri būs izturējuši kvalifikāciju un tiks uzaicināti iesniegt piedāvājumu. Līdz ar to, iepirkuma komisija atbildes par tehnisko specifikāciju sniegs pretendentiem procedūras otrajā posmā, kuri būs izturējuši kandidātu atlasi un būs uzaicināti iesniegt piedāvājumu.</w:t>
            </w:r>
          </w:p>
        </w:tc>
      </w:tr>
      <w:tr w:rsidR="00831977" w:rsidRPr="00AF039F" w14:paraId="31AA52EA" w14:textId="77777777" w:rsidTr="00C60F53">
        <w:trPr>
          <w:trHeight w:val="904"/>
        </w:trPr>
        <w:tc>
          <w:tcPr>
            <w:tcW w:w="4503" w:type="dxa"/>
          </w:tcPr>
          <w:p w14:paraId="52DAF63E" w14:textId="77777777" w:rsidR="00831977" w:rsidRPr="00AF039F" w:rsidRDefault="00831977" w:rsidP="00C60F53">
            <w:pPr>
              <w:jc w:val="both"/>
              <w:rPr>
                <w:rFonts w:ascii="Times New Roman" w:hAnsi="Times New Roman"/>
                <w:b/>
                <w:szCs w:val="24"/>
                <w:lang w:val="en-US"/>
              </w:rPr>
            </w:pPr>
            <w:r>
              <w:rPr>
                <w:rFonts w:ascii="Times New Roman" w:hAnsi="Times New Roman"/>
                <w:b/>
                <w:szCs w:val="24"/>
                <w:lang w:val="en-US"/>
              </w:rPr>
              <w:t>Question No.4</w:t>
            </w:r>
            <w:r w:rsidRPr="00AF039F">
              <w:rPr>
                <w:rFonts w:ascii="Times New Roman" w:hAnsi="Times New Roman"/>
                <w:b/>
                <w:szCs w:val="24"/>
                <w:lang w:val="en-US"/>
              </w:rPr>
              <w:t>:</w:t>
            </w:r>
          </w:p>
          <w:p w14:paraId="3525824A" w14:textId="77777777" w:rsidR="00831977" w:rsidRDefault="00831977" w:rsidP="00C60F53">
            <w:pPr>
              <w:jc w:val="both"/>
              <w:rPr>
                <w:rFonts w:ascii="Times New Roman" w:hAnsi="Times New Roman"/>
                <w:szCs w:val="24"/>
                <w:lang w:val="en-US"/>
              </w:rPr>
            </w:pPr>
            <w:r w:rsidRPr="008671A5">
              <w:rPr>
                <w:rFonts w:ascii="Times New Roman" w:hAnsi="Times New Roman"/>
                <w:szCs w:val="24"/>
                <w:lang w:val="en-US"/>
              </w:rPr>
              <w:t>Equipment set:</w:t>
            </w:r>
            <w:r>
              <w:rPr>
                <w:rFonts w:ascii="Times New Roman" w:hAnsi="Times New Roman"/>
                <w:szCs w:val="24"/>
                <w:lang w:val="en-US"/>
              </w:rPr>
              <w:t xml:space="preserve"> “</w:t>
            </w:r>
            <w:r w:rsidRPr="008671A5">
              <w:rPr>
                <w:rFonts w:ascii="Times New Roman" w:hAnsi="Times New Roman"/>
                <w:szCs w:val="24"/>
                <w:lang w:val="en-GB"/>
              </w:rPr>
              <w:t>5. Modular load carrying vest’s additional elements: various grenade pouches, various magazine and ammunition pouches, portable transmitter pouch, various utility (administrative) pouches, various equipment pouches for other general purposes, flask pouches, hydration carrier system, MED pouch, gasmask pouch, various pouches for special</w:t>
            </w:r>
            <w:r>
              <w:rPr>
                <w:rFonts w:ascii="Times New Roman" w:hAnsi="Times New Roman"/>
                <w:szCs w:val="24"/>
                <w:lang w:val="en-GB"/>
              </w:rPr>
              <w:t xml:space="preserve"> equipment, handgun holster etc.</w:t>
            </w:r>
            <w:r>
              <w:rPr>
                <w:rFonts w:ascii="Times New Roman" w:hAnsi="Times New Roman"/>
                <w:szCs w:val="24"/>
                <w:lang w:val="en-US"/>
              </w:rPr>
              <w:t>”</w:t>
            </w:r>
          </w:p>
          <w:p w14:paraId="7B041B95" w14:textId="77777777" w:rsidR="00831977" w:rsidRDefault="00831977" w:rsidP="00C60F53">
            <w:pPr>
              <w:jc w:val="both"/>
              <w:rPr>
                <w:rFonts w:ascii="Times New Roman" w:hAnsi="Times New Roman"/>
                <w:szCs w:val="24"/>
                <w:lang w:val="en"/>
              </w:rPr>
            </w:pPr>
            <w:r w:rsidRPr="000F09D5">
              <w:rPr>
                <w:rFonts w:ascii="Times New Roman" w:hAnsi="Times New Roman"/>
                <w:szCs w:val="24"/>
                <w:lang w:val="en"/>
              </w:rPr>
              <w:t xml:space="preserve">We ask for visual images and sizes to understand the placement of the extra elements of the </w:t>
            </w:r>
            <w:r>
              <w:rPr>
                <w:rFonts w:ascii="Times New Roman" w:hAnsi="Times New Roman"/>
                <w:szCs w:val="24"/>
                <w:lang w:val="en"/>
              </w:rPr>
              <w:t>armour/load carrying vest</w:t>
            </w:r>
            <w:r w:rsidRPr="000F09D5">
              <w:rPr>
                <w:rFonts w:ascii="Times New Roman" w:hAnsi="Times New Roman"/>
                <w:szCs w:val="24"/>
                <w:lang w:val="en"/>
              </w:rPr>
              <w:t>.</w:t>
            </w:r>
          </w:p>
          <w:p w14:paraId="67A32700" w14:textId="77777777" w:rsidR="00831977" w:rsidRPr="000F09D5" w:rsidRDefault="00831977" w:rsidP="00C60F53">
            <w:pPr>
              <w:jc w:val="both"/>
              <w:rPr>
                <w:rFonts w:ascii="Times New Roman" w:hAnsi="Times New Roman"/>
                <w:szCs w:val="24"/>
                <w:lang w:val="en"/>
              </w:rPr>
            </w:pPr>
          </w:p>
        </w:tc>
        <w:tc>
          <w:tcPr>
            <w:tcW w:w="4503" w:type="dxa"/>
          </w:tcPr>
          <w:p w14:paraId="791C1F36"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Nr.4</w:t>
            </w:r>
            <w:r w:rsidRPr="00AF039F">
              <w:rPr>
                <w:rFonts w:ascii="Times New Roman" w:hAnsi="Times New Roman"/>
                <w:b/>
                <w:szCs w:val="24"/>
              </w:rPr>
              <w:t>:</w:t>
            </w:r>
          </w:p>
          <w:p w14:paraId="46E65041" w14:textId="77777777" w:rsidR="00831977" w:rsidRPr="00505C34" w:rsidRDefault="00831977" w:rsidP="00C60F53">
            <w:pPr>
              <w:jc w:val="both"/>
              <w:rPr>
                <w:rFonts w:ascii="Times New Roman" w:hAnsi="Times New Roman"/>
                <w:color w:val="000000" w:themeColor="text1"/>
              </w:rPr>
            </w:pPr>
            <w:r w:rsidRPr="00505C34">
              <w:rPr>
                <w:rFonts w:ascii="Times New Roman" w:hAnsi="Times New Roman"/>
                <w:color w:val="000000" w:themeColor="text1"/>
              </w:rPr>
              <w:t>Komplektācija: “5. Uzkabes vestes papildelementi: dažāda veida granātu somas, dažāda veida aptveru un munīcijas somas, rāciju soma, dažāda veida vispārējās nozīmes somas (administratīvās), dažāda veida vispārējās nozīmes ekipējuma somas, blašķes soma, dzeršanas sistēmas soma, medicīnas somas, gāzmaskas soma, dažādas speciālā ekipējuma somas, pistoles maksts u.c.”</w:t>
            </w:r>
          </w:p>
          <w:p w14:paraId="0CA1AE59" w14:textId="77777777" w:rsidR="00831977" w:rsidRPr="00505C34" w:rsidRDefault="00831977" w:rsidP="00C60F53">
            <w:pPr>
              <w:jc w:val="both"/>
              <w:rPr>
                <w:rFonts w:ascii="Times New Roman" w:hAnsi="Times New Roman"/>
                <w:color w:val="000000" w:themeColor="text1"/>
              </w:rPr>
            </w:pPr>
            <w:r w:rsidRPr="00505C34">
              <w:rPr>
                <w:rFonts w:ascii="Times New Roman" w:hAnsi="Times New Roman"/>
                <w:color w:val="000000" w:themeColor="text1"/>
              </w:rPr>
              <w:t>Lūdzam vizuālo attēlu un izmērus, lai izprastu uzkabes vestes papildelementu izvietojumu.</w:t>
            </w:r>
          </w:p>
        </w:tc>
      </w:tr>
      <w:tr w:rsidR="00831977" w:rsidRPr="00AF039F" w14:paraId="6A63B0C8" w14:textId="77777777" w:rsidTr="00C60F53">
        <w:trPr>
          <w:trHeight w:val="449"/>
        </w:trPr>
        <w:tc>
          <w:tcPr>
            <w:tcW w:w="4503" w:type="dxa"/>
          </w:tcPr>
          <w:p w14:paraId="6E3BB8E4" w14:textId="77777777" w:rsidR="00831977" w:rsidRPr="00895DDE" w:rsidRDefault="00831977" w:rsidP="00C60F53">
            <w:pPr>
              <w:jc w:val="both"/>
              <w:rPr>
                <w:rFonts w:ascii="Times New Roman" w:hAnsi="Times New Roman"/>
                <w:b/>
                <w:szCs w:val="24"/>
                <w:lang w:val="en-US"/>
              </w:rPr>
            </w:pPr>
            <w:r w:rsidRPr="00895DDE">
              <w:rPr>
                <w:rFonts w:ascii="Times New Roman" w:hAnsi="Times New Roman"/>
                <w:b/>
                <w:szCs w:val="24"/>
                <w:lang w:val="en-US"/>
              </w:rPr>
              <w:t>Answer:</w:t>
            </w:r>
          </w:p>
          <w:p w14:paraId="0430F386" w14:textId="77777777" w:rsidR="00831977" w:rsidRPr="00895DDE" w:rsidRDefault="00831977" w:rsidP="00C60F53">
            <w:pPr>
              <w:jc w:val="both"/>
              <w:rPr>
                <w:rFonts w:ascii="Times New Roman" w:hAnsi="Times New Roman"/>
                <w:b/>
                <w:szCs w:val="24"/>
                <w:lang w:val="en-US"/>
              </w:rPr>
            </w:pPr>
            <w:r w:rsidRPr="00895DDE">
              <w:rPr>
                <w:rFonts w:ascii="Times New Roman" w:hAnsi="Times New Roman"/>
                <w:szCs w:val="24"/>
                <w:lang w:val="en-US"/>
              </w:rPr>
              <w:t>See answer to question 3.</w:t>
            </w:r>
          </w:p>
        </w:tc>
        <w:tc>
          <w:tcPr>
            <w:tcW w:w="4503" w:type="dxa"/>
          </w:tcPr>
          <w:p w14:paraId="64FB1659" w14:textId="77777777" w:rsidR="00831977" w:rsidRPr="00895DDE" w:rsidRDefault="00831977" w:rsidP="00C60F53">
            <w:pPr>
              <w:widowControl w:val="0"/>
              <w:ind w:right="103"/>
              <w:jc w:val="both"/>
              <w:rPr>
                <w:rFonts w:ascii="Times New Roman" w:hAnsi="Times New Roman"/>
                <w:b/>
                <w:szCs w:val="24"/>
              </w:rPr>
            </w:pPr>
            <w:r w:rsidRPr="00895DDE">
              <w:rPr>
                <w:rFonts w:ascii="Times New Roman" w:hAnsi="Times New Roman"/>
                <w:b/>
                <w:szCs w:val="24"/>
              </w:rPr>
              <w:t>Atbilde:</w:t>
            </w:r>
          </w:p>
          <w:p w14:paraId="0F9536CB" w14:textId="77777777" w:rsidR="00831977" w:rsidRPr="00464F50" w:rsidRDefault="00831977" w:rsidP="00C60F53">
            <w:pPr>
              <w:jc w:val="both"/>
              <w:rPr>
                <w:rFonts w:ascii="Times New Roman" w:hAnsi="Times New Roman"/>
                <w:szCs w:val="24"/>
              </w:rPr>
            </w:pPr>
            <w:r w:rsidRPr="00895DDE">
              <w:rPr>
                <w:rFonts w:ascii="Times New Roman" w:hAnsi="Times New Roman"/>
                <w:szCs w:val="24"/>
              </w:rPr>
              <w:t>Skatīt atbildi uz 3.jautājumu.</w:t>
            </w:r>
          </w:p>
        </w:tc>
      </w:tr>
      <w:tr w:rsidR="00831977" w:rsidRPr="00AF039F" w14:paraId="6200DAD5" w14:textId="77777777" w:rsidTr="00C60F53">
        <w:trPr>
          <w:trHeight w:val="904"/>
        </w:trPr>
        <w:tc>
          <w:tcPr>
            <w:tcW w:w="4503" w:type="dxa"/>
          </w:tcPr>
          <w:p w14:paraId="0D81DADA" w14:textId="77777777" w:rsidR="00831977" w:rsidRPr="00AF039F" w:rsidRDefault="00831977" w:rsidP="00C60F53">
            <w:pPr>
              <w:jc w:val="both"/>
              <w:rPr>
                <w:rFonts w:ascii="Times New Roman" w:hAnsi="Times New Roman"/>
                <w:b/>
                <w:szCs w:val="24"/>
                <w:lang w:val="en-US"/>
              </w:rPr>
            </w:pPr>
            <w:r>
              <w:rPr>
                <w:rFonts w:ascii="Times New Roman" w:hAnsi="Times New Roman"/>
                <w:b/>
                <w:szCs w:val="24"/>
                <w:lang w:val="en-US"/>
              </w:rPr>
              <w:t>Question No.5</w:t>
            </w:r>
            <w:r w:rsidRPr="00AF039F">
              <w:rPr>
                <w:rFonts w:ascii="Times New Roman" w:hAnsi="Times New Roman"/>
                <w:b/>
                <w:szCs w:val="24"/>
                <w:lang w:val="en-US"/>
              </w:rPr>
              <w:t>:</w:t>
            </w:r>
          </w:p>
          <w:p w14:paraId="49B589C7" w14:textId="77777777" w:rsidR="00831977" w:rsidRPr="00895DDE" w:rsidRDefault="00831977" w:rsidP="00C60F53">
            <w:pPr>
              <w:jc w:val="both"/>
              <w:rPr>
                <w:rFonts w:ascii="Times New Roman" w:hAnsi="Times New Roman"/>
                <w:szCs w:val="24"/>
                <w:lang w:val="en-US"/>
              </w:rPr>
            </w:pPr>
            <w:r w:rsidRPr="00895DDE">
              <w:rPr>
                <w:rFonts w:ascii="Times New Roman" w:hAnsi="Times New Roman"/>
                <w:szCs w:val="24"/>
                <w:lang w:val="en-US"/>
              </w:rPr>
              <w:t>Material requirements: “Both internal and external materials must be easy-to-maintain and both materials should dry quickly. There must be two types of materials: regular and fire resistant. The external material must be durable, water – and oil-repellent”</w:t>
            </w:r>
            <w:r>
              <w:rPr>
                <w:rFonts w:ascii="Times New Roman" w:hAnsi="Times New Roman"/>
                <w:szCs w:val="24"/>
                <w:lang w:val="en-US"/>
              </w:rPr>
              <w:t>.</w:t>
            </w:r>
          </w:p>
          <w:p w14:paraId="5473740E" w14:textId="77777777" w:rsidR="00831977" w:rsidRDefault="00831977" w:rsidP="00C60F53">
            <w:pPr>
              <w:jc w:val="both"/>
              <w:rPr>
                <w:rFonts w:ascii="Times New Roman" w:hAnsi="Times New Roman"/>
                <w:szCs w:val="24"/>
                <w:lang w:val="en-US"/>
              </w:rPr>
            </w:pPr>
            <w:r w:rsidRPr="00895DDE">
              <w:rPr>
                <w:rFonts w:ascii="Times New Roman" w:hAnsi="Times New Roman"/>
                <w:szCs w:val="24"/>
                <w:lang w:val="en-US"/>
              </w:rPr>
              <w:t>Please specify the fire protection class of the material.</w:t>
            </w:r>
          </w:p>
          <w:p w14:paraId="6C3811FA" w14:textId="77777777" w:rsidR="00831977" w:rsidRPr="00895DDE" w:rsidRDefault="00831977" w:rsidP="00C60F53">
            <w:pPr>
              <w:jc w:val="both"/>
              <w:rPr>
                <w:szCs w:val="24"/>
              </w:rPr>
            </w:pPr>
          </w:p>
        </w:tc>
        <w:tc>
          <w:tcPr>
            <w:tcW w:w="4503" w:type="dxa"/>
          </w:tcPr>
          <w:p w14:paraId="3E169C4E"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Nr.5</w:t>
            </w:r>
            <w:r w:rsidRPr="00AF039F">
              <w:rPr>
                <w:rFonts w:ascii="Times New Roman" w:hAnsi="Times New Roman"/>
                <w:b/>
                <w:szCs w:val="24"/>
              </w:rPr>
              <w:t>:</w:t>
            </w:r>
          </w:p>
          <w:p w14:paraId="0477392D" w14:textId="77777777" w:rsidR="00831977" w:rsidRPr="00505C34" w:rsidRDefault="00831977" w:rsidP="00C60F53">
            <w:pPr>
              <w:jc w:val="both"/>
              <w:rPr>
                <w:rFonts w:ascii="Times New Roman" w:hAnsi="Times New Roman"/>
                <w:color w:val="000000" w:themeColor="text1"/>
              </w:rPr>
            </w:pPr>
            <w:r w:rsidRPr="00505C34">
              <w:rPr>
                <w:rFonts w:ascii="Times New Roman" w:hAnsi="Times New Roman"/>
                <w:color w:val="000000" w:themeColor="text1"/>
              </w:rPr>
              <w:t>Prasības izejmateriāliem: “</w:t>
            </w:r>
            <w:r w:rsidRPr="00505C34">
              <w:rPr>
                <w:rFonts w:ascii="Times New Roman" w:hAnsi="Times New Roman"/>
              </w:rPr>
              <w:t>Gan iekšējam, gan ārējam materiālam jābūt viegli kopjamam un ātri žūstošam</w:t>
            </w:r>
            <w:r w:rsidRPr="00505C34">
              <w:rPr>
                <w:rFonts w:ascii="Times New Roman" w:hAnsi="Times New Roman"/>
                <w:color w:val="000000" w:themeColor="text1"/>
              </w:rPr>
              <w:t>. Jāparedz divu veidu materiāli - parastais un ugunsdrošais. Ārējam materiālam jābūt izturīgam, ūdens un eļļu atgrūdošam.”</w:t>
            </w:r>
          </w:p>
          <w:p w14:paraId="6CD928D8" w14:textId="77777777" w:rsidR="00831977" w:rsidRPr="00505C34" w:rsidRDefault="00831977" w:rsidP="00C60F53">
            <w:pPr>
              <w:jc w:val="both"/>
              <w:rPr>
                <w:rFonts w:ascii="Times New Roman" w:hAnsi="Times New Roman"/>
                <w:color w:val="000000" w:themeColor="text1"/>
              </w:rPr>
            </w:pPr>
            <w:r w:rsidRPr="00505C34">
              <w:rPr>
                <w:rFonts w:ascii="Times New Roman" w:hAnsi="Times New Roman"/>
                <w:color w:val="000000" w:themeColor="text1"/>
              </w:rPr>
              <w:t xml:space="preserve">Lūdzam precizēt materiāla ugunsdrošības klasi. </w:t>
            </w:r>
          </w:p>
        </w:tc>
      </w:tr>
      <w:tr w:rsidR="00831977" w:rsidRPr="00AF039F" w14:paraId="0E035E65" w14:textId="77777777" w:rsidTr="00C60F53">
        <w:trPr>
          <w:trHeight w:val="583"/>
        </w:trPr>
        <w:tc>
          <w:tcPr>
            <w:tcW w:w="4503" w:type="dxa"/>
          </w:tcPr>
          <w:p w14:paraId="55D7FAAA" w14:textId="77777777" w:rsidR="00831977" w:rsidRPr="00895DDE" w:rsidRDefault="00831977" w:rsidP="00C60F53">
            <w:pPr>
              <w:jc w:val="both"/>
              <w:rPr>
                <w:rFonts w:ascii="Times New Roman" w:hAnsi="Times New Roman"/>
                <w:b/>
                <w:szCs w:val="24"/>
                <w:lang w:val="en-US"/>
              </w:rPr>
            </w:pPr>
            <w:r w:rsidRPr="00895DDE">
              <w:rPr>
                <w:rFonts w:ascii="Times New Roman" w:hAnsi="Times New Roman"/>
                <w:b/>
                <w:szCs w:val="24"/>
                <w:lang w:val="en-US"/>
              </w:rPr>
              <w:t>Answer:</w:t>
            </w:r>
          </w:p>
          <w:p w14:paraId="59B82B11" w14:textId="77777777" w:rsidR="00831977" w:rsidRPr="00895DDE" w:rsidRDefault="00831977" w:rsidP="00C60F53">
            <w:pPr>
              <w:jc w:val="both"/>
              <w:rPr>
                <w:rFonts w:ascii="Times New Roman" w:hAnsi="Times New Roman"/>
                <w:b/>
                <w:szCs w:val="24"/>
                <w:lang w:val="en-US"/>
              </w:rPr>
            </w:pPr>
            <w:r w:rsidRPr="00895DDE">
              <w:rPr>
                <w:rFonts w:ascii="Times New Roman" w:hAnsi="Times New Roman"/>
                <w:szCs w:val="24"/>
                <w:lang w:val="en-US"/>
              </w:rPr>
              <w:t>See answer to question 3.</w:t>
            </w:r>
          </w:p>
        </w:tc>
        <w:tc>
          <w:tcPr>
            <w:tcW w:w="4503" w:type="dxa"/>
          </w:tcPr>
          <w:p w14:paraId="095906D1" w14:textId="77777777" w:rsidR="00831977" w:rsidRPr="00895DDE" w:rsidRDefault="00831977" w:rsidP="00C60F53">
            <w:pPr>
              <w:widowControl w:val="0"/>
              <w:ind w:right="103"/>
              <w:jc w:val="both"/>
              <w:rPr>
                <w:rFonts w:ascii="Times New Roman" w:hAnsi="Times New Roman"/>
                <w:b/>
                <w:szCs w:val="24"/>
              </w:rPr>
            </w:pPr>
            <w:r w:rsidRPr="00895DDE">
              <w:rPr>
                <w:rFonts w:ascii="Times New Roman" w:hAnsi="Times New Roman"/>
                <w:b/>
                <w:szCs w:val="24"/>
              </w:rPr>
              <w:t>Atbilde:</w:t>
            </w:r>
          </w:p>
          <w:p w14:paraId="37673906" w14:textId="77777777" w:rsidR="00831977" w:rsidRPr="00895DDE" w:rsidRDefault="00831977" w:rsidP="00C60F53">
            <w:pPr>
              <w:jc w:val="both"/>
              <w:rPr>
                <w:rFonts w:ascii="Times New Roman" w:hAnsi="Times New Roman"/>
                <w:szCs w:val="24"/>
              </w:rPr>
            </w:pPr>
            <w:r w:rsidRPr="00895DDE">
              <w:rPr>
                <w:rFonts w:ascii="Times New Roman" w:hAnsi="Times New Roman"/>
                <w:szCs w:val="24"/>
              </w:rPr>
              <w:t>Skatīt atbildi uz 3.jautājumu.</w:t>
            </w:r>
          </w:p>
        </w:tc>
      </w:tr>
      <w:tr w:rsidR="00831977" w:rsidRPr="00AF039F" w14:paraId="35197DC7" w14:textId="77777777" w:rsidTr="00C60F53">
        <w:trPr>
          <w:trHeight w:val="904"/>
        </w:trPr>
        <w:tc>
          <w:tcPr>
            <w:tcW w:w="4503" w:type="dxa"/>
          </w:tcPr>
          <w:p w14:paraId="3248F98C" w14:textId="77777777" w:rsidR="00831977" w:rsidRPr="00AF039F" w:rsidRDefault="00831977" w:rsidP="00C60F53">
            <w:pPr>
              <w:jc w:val="both"/>
              <w:rPr>
                <w:rFonts w:ascii="Times New Roman" w:hAnsi="Times New Roman"/>
                <w:b/>
                <w:szCs w:val="24"/>
                <w:lang w:val="en-US"/>
              </w:rPr>
            </w:pPr>
            <w:r>
              <w:rPr>
                <w:rFonts w:ascii="Times New Roman" w:hAnsi="Times New Roman"/>
                <w:b/>
                <w:szCs w:val="24"/>
                <w:lang w:val="en-US"/>
              </w:rPr>
              <w:t>Question No.6</w:t>
            </w:r>
            <w:r w:rsidRPr="00AF039F">
              <w:rPr>
                <w:rFonts w:ascii="Times New Roman" w:hAnsi="Times New Roman"/>
                <w:b/>
                <w:szCs w:val="24"/>
                <w:lang w:val="en-US"/>
              </w:rPr>
              <w:t>:</w:t>
            </w:r>
          </w:p>
          <w:p w14:paraId="349A33D2" w14:textId="77777777" w:rsidR="00831977" w:rsidRPr="00F97108" w:rsidRDefault="00831977" w:rsidP="00C60F53">
            <w:pPr>
              <w:jc w:val="both"/>
              <w:rPr>
                <w:rFonts w:ascii="Times New Roman" w:hAnsi="Times New Roman"/>
                <w:szCs w:val="24"/>
                <w:lang w:val="en-US"/>
              </w:rPr>
            </w:pPr>
            <w:r w:rsidRPr="00F97108">
              <w:rPr>
                <w:rFonts w:ascii="Times New Roman" w:hAnsi="Times New Roman"/>
                <w:szCs w:val="24"/>
                <w:lang w:val="en-US"/>
              </w:rPr>
              <w:t>Armour plate requirements (hard ballistic protection material) – Sizes: “1. The armour plates (frontal and back panel) come in various sizes – in line with the armour/ modular load carrying vest sizes”.</w:t>
            </w:r>
          </w:p>
          <w:p w14:paraId="1AC2CF77" w14:textId="77777777" w:rsidR="00831977" w:rsidRDefault="00831977" w:rsidP="00C60F53">
            <w:pPr>
              <w:jc w:val="both"/>
              <w:rPr>
                <w:rFonts w:ascii="Times New Roman" w:hAnsi="Times New Roman"/>
                <w:szCs w:val="24"/>
                <w:lang w:val="en-US"/>
              </w:rPr>
            </w:pPr>
            <w:r w:rsidRPr="00F97108">
              <w:rPr>
                <w:rFonts w:ascii="Times New Roman" w:hAnsi="Times New Roman"/>
                <w:szCs w:val="24"/>
                <w:lang w:val="en-US"/>
              </w:rPr>
              <w:t>Please specify the size of the armour vests.</w:t>
            </w:r>
          </w:p>
          <w:p w14:paraId="3E9DC958" w14:textId="77777777" w:rsidR="00831977" w:rsidRPr="00F97108" w:rsidRDefault="00831977" w:rsidP="00C60F53">
            <w:pPr>
              <w:jc w:val="both"/>
              <w:rPr>
                <w:rFonts w:ascii="Times New Roman" w:hAnsi="Times New Roman"/>
                <w:szCs w:val="24"/>
                <w:lang w:val="en-GB"/>
              </w:rPr>
            </w:pPr>
          </w:p>
        </w:tc>
        <w:tc>
          <w:tcPr>
            <w:tcW w:w="4503" w:type="dxa"/>
          </w:tcPr>
          <w:p w14:paraId="464208E3"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Nr.6</w:t>
            </w:r>
            <w:r w:rsidRPr="00AF039F">
              <w:rPr>
                <w:rFonts w:ascii="Times New Roman" w:hAnsi="Times New Roman"/>
                <w:b/>
                <w:szCs w:val="24"/>
              </w:rPr>
              <w:t>:</w:t>
            </w:r>
          </w:p>
          <w:p w14:paraId="6E5BD716" w14:textId="77777777" w:rsidR="00831977" w:rsidRPr="00505C34" w:rsidRDefault="00831977" w:rsidP="00C60F53">
            <w:pPr>
              <w:autoSpaceDE w:val="0"/>
              <w:autoSpaceDN w:val="0"/>
              <w:adjustRightInd w:val="0"/>
              <w:jc w:val="both"/>
              <w:rPr>
                <w:rFonts w:ascii="Times New Roman" w:hAnsi="Times New Roman"/>
                <w:color w:val="000000" w:themeColor="text1"/>
              </w:rPr>
            </w:pPr>
            <w:r w:rsidRPr="00505C34">
              <w:rPr>
                <w:rFonts w:ascii="Times New Roman" w:hAnsi="Times New Roman"/>
                <w:color w:val="000000" w:themeColor="text1"/>
              </w:rPr>
              <w:t>Prasības bruņu plāksnēm (cietajam ballistiskajam materiālam) - Izmēri: “</w:t>
            </w:r>
            <w:r w:rsidRPr="00505C34">
              <w:rPr>
                <w:rFonts w:ascii="Times New Roman" w:hAnsi="Times New Roman"/>
                <w:color w:val="1B1717"/>
                <w:lang w:eastAsia="pl-PL"/>
              </w:rPr>
              <w:t>1. Bruņu plāksnes (priekšējais un aizmugurējais panelis) ir vairāku izmēru – atbilstoši bruņu/uzkabes vestu izmēriem.</w:t>
            </w:r>
            <w:r w:rsidRPr="00505C34">
              <w:rPr>
                <w:rFonts w:ascii="Times New Roman" w:hAnsi="Times New Roman"/>
                <w:color w:val="000000" w:themeColor="text1"/>
              </w:rPr>
              <w:t>”</w:t>
            </w:r>
          </w:p>
          <w:p w14:paraId="5457530A" w14:textId="77777777" w:rsidR="00831977" w:rsidRPr="00505C34" w:rsidRDefault="00831977" w:rsidP="00C60F53">
            <w:pPr>
              <w:autoSpaceDE w:val="0"/>
              <w:autoSpaceDN w:val="0"/>
              <w:adjustRightInd w:val="0"/>
              <w:jc w:val="both"/>
              <w:rPr>
                <w:rFonts w:ascii="Times New Roman" w:hAnsi="Times New Roman"/>
                <w:color w:val="000000" w:themeColor="text1"/>
              </w:rPr>
            </w:pPr>
            <w:r w:rsidRPr="00505C34">
              <w:rPr>
                <w:rFonts w:ascii="Times New Roman" w:hAnsi="Times New Roman"/>
                <w:color w:val="000000" w:themeColor="text1"/>
              </w:rPr>
              <w:t>Lūdzam precizēt izmērus bruņu plāksnēm.</w:t>
            </w:r>
          </w:p>
        </w:tc>
      </w:tr>
      <w:tr w:rsidR="00831977" w:rsidRPr="00AF039F" w14:paraId="1D2D5865" w14:textId="77777777" w:rsidTr="00C60F53">
        <w:trPr>
          <w:trHeight w:val="567"/>
        </w:trPr>
        <w:tc>
          <w:tcPr>
            <w:tcW w:w="4503" w:type="dxa"/>
          </w:tcPr>
          <w:p w14:paraId="2DFAF849" w14:textId="77777777" w:rsidR="00831977" w:rsidRPr="00F97108" w:rsidRDefault="00831977" w:rsidP="00C60F53">
            <w:pPr>
              <w:jc w:val="both"/>
              <w:rPr>
                <w:rFonts w:ascii="Times New Roman" w:hAnsi="Times New Roman"/>
                <w:b/>
                <w:szCs w:val="24"/>
              </w:rPr>
            </w:pPr>
            <w:r w:rsidRPr="00F97108">
              <w:rPr>
                <w:rFonts w:ascii="Times New Roman" w:hAnsi="Times New Roman"/>
                <w:b/>
                <w:szCs w:val="24"/>
              </w:rPr>
              <w:t>Answer:</w:t>
            </w:r>
          </w:p>
          <w:p w14:paraId="1013DCD1" w14:textId="77777777" w:rsidR="00831977" w:rsidRPr="00F97108" w:rsidRDefault="00831977" w:rsidP="00C60F53">
            <w:pPr>
              <w:jc w:val="both"/>
              <w:rPr>
                <w:rFonts w:ascii="Times New Roman" w:hAnsi="Times New Roman"/>
                <w:b/>
                <w:szCs w:val="24"/>
              </w:rPr>
            </w:pPr>
            <w:r w:rsidRPr="00F97108">
              <w:rPr>
                <w:rFonts w:ascii="Times New Roman" w:hAnsi="Times New Roman"/>
                <w:szCs w:val="24"/>
                <w:lang w:val="en-US"/>
              </w:rPr>
              <w:t>See answer to question 3.</w:t>
            </w:r>
          </w:p>
        </w:tc>
        <w:tc>
          <w:tcPr>
            <w:tcW w:w="4503" w:type="dxa"/>
          </w:tcPr>
          <w:p w14:paraId="650AFEA9" w14:textId="77777777" w:rsidR="00831977" w:rsidRPr="00F97108" w:rsidRDefault="00831977" w:rsidP="00C60F53">
            <w:pPr>
              <w:widowControl w:val="0"/>
              <w:ind w:right="103"/>
              <w:jc w:val="both"/>
              <w:rPr>
                <w:rFonts w:ascii="Times New Roman" w:hAnsi="Times New Roman"/>
                <w:b/>
                <w:szCs w:val="24"/>
              </w:rPr>
            </w:pPr>
            <w:r w:rsidRPr="00F97108">
              <w:rPr>
                <w:rFonts w:ascii="Times New Roman" w:hAnsi="Times New Roman"/>
                <w:b/>
                <w:szCs w:val="24"/>
              </w:rPr>
              <w:t>Atbilde:</w:t>
            </w:r>
          </w:p>
          <w:p w14:paraId="71D89732" w14:textId="77777777" w:rsidR="00831977" w:rsidRPr="00F97108" w:rsidRDefault="00831977" w:rsidP="00C60F53">
            <w:pPr>
              <w:jc w:val="both"/>
              <w:rPr>
                <w:rFonts w:ascii="Times New Roman" w:hAnsi="Times New Roman"/>
                <w:szCs w:val="24"/>
              </w:rPr>
            </w:pPr>
            <w:r w:rsidRPr="00F97108">
              <w:rPr>
                <w:rFonts w:ascii="Times New Roman" w:hAnsi="Times New Roman"/>
                <w:szCs w:val="24"/>
              </w:rPr>
              <w:t>Skatīt atbildi uz 3.jautājumu.</w:t>
            </w:r>
          </w:p>
        </w:tc>
      </w:tr>
      <w:tr w:rsidR="00831977" w:rsidRPr="00AF039F" w14:paraId="68D97CD4" w14:textId="77777777" w:rsidTr="00C60F53">
        <w:trPr>
          <w:trHeight w:val="904"/>
        </w:trPr>
        <w:tc>
          <w:tcPr>
            <w:tcW w:w="4503" w:type="dxa"/>
          </w:tcPr>
          <w:p w14:paraId="6FA4DEA6" w14:textId="77777777" w:rsidR="00831977" w:rsidRPr="001245C8" w:rsidRDefault="00831977" w:rsidP="00C60F53">
            <w:pPr>
              <w:jc w:val="both"/>
              <w:rPr>
                <w:rFonts w:ascii="Times New Roman" w:hAnsi="Times New Roman"/>
                <w:b/>
                <w:szCs w:val="24"/>
              </w:rPr>
            </w:pPr>
            <w:r>
              <w:rPr>
                <w:rFonts w:ascii="Times New Roman" w:hAnsi="Times New Roman"/>
                <w:b/>
                <w:szCs w:val="24"/>
              </w:rPr>
              <w:t>Question No.7</w:t>
            </w:r>
            <w:r w:rsidRPr="001245C8">
              <w:rPr>
                <w:rFonts w:ascii="Times New Roman" w:hAnsi="Times New Roman"/>
                <w:b/>
                <w:szCs w:val="24"/>
              </w:rPr>
              <w:t>:</w:t>
            </w:r>
          </w:p>
          <w:p w14:paraId="22FE7CD8" w14:textId="77777777" w:rsidR="00831977" w:rsidRDefault="00831977" w:rsidP="00C60F53">
            <w:pPr>
              <w:jc w:val="both"/>
              <w:rPr>
                <w:rFonts w:ascii="Times New Roman" w:hAnsi="Times New Roman"/>
                <w:szCs w:val="24"/>
                <w:lang w:val="en-US"/>
              </w:rPr>
            </w:pPr>
            <w:r w:rsidRPr="0022721B">
              <w:rPr>
                <w:rFonts w:ascii="Times New Roman" w:hAnsi="Times New Roman"/>
                <w:szCs w:val="24"/>
                <w:lang w:val="en-US"/>
              </w:rPr>
              <w:t xml:space="preserve">Requirements for soft armour panels (soft ballistic protection materials) - General technical requirements: “The soft panels are to be inserted in the frontal and back part of the modular load carrying vest, protecting body against 9 mm bullets and any fragments”. </w:t>
            </w:r>
          </w:p>
          <w:p w14:paraId="18082BBC" w14:textId="77777777" w:rsidR="00831977" w:rsidRDefault="00831977" w:rsidP="00C60F53">
            <w:pPr>
              <w:jc w:val="both"/>
              <w:rPr>
                <w:rFonts w:ascii="Times New Roman" w:hAnsi="Times New Roman"/>
                <w:szCs w:val="24"/>
                <w:lang w:val="en-US"/>
              </w:rPr>
            </w:pPr>
            <w:r w:rsidRPr="004E13C8">
              <w:rPr>
                <w:rFonts w:ascii="Times New Roman" w:hAnsi="Times New Roman"/>
                <w:szCs w:val="24"/>
                <w:lang w:val="en-US"/>
              </w:rPr>
              <w:t>Please specify the level of the protection class.</w:t>
            </w:r>
          </w:p>
          <w:p w14:paraId="0C8286CB" w14:textId="77777777" w:rsidR="00831977" w:rsidRPr="0022721B" w:rsidRDefault="00831977" w:rsidP="00C60F53">
            <w:pPr>
              <w:jc w:val="both"/>
              <w:rPr>
                <w:rFonts w:ascii="Times New Roman" w:hAnsi="Times New Roman"/>
                <w:szCs w:val="24"/>
                <w:lang w:val="en-US"/>
              </w:rPr>
            </w:pPr>
          </w:p>
        </w:tc>
        <w:tc>
          <w:tcPr>
            <w:tcW w:w="4503" w:type="dxa"/>
          </w:tcPr>
          <w:p w14:paraId="0679D5C4"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Nr.7</w:t>
            </w:r>
            <w:r w:rsidRPr="00AF039F">
              <w:rPr>
                <w:rFonts w:ascii="Times New Roman" w:hAnsi="Times New Roman"/>
                <w:b/>
                <w:szCs w:val="24"/>
              </w:rPr>
              <w:t>:</w:t>
            </w:r>
          </w:p>
          <w:p w14:paraId="0B0A86A4" w14:textId="77777777" w:rsidR="00831977" w:rsidRPr="00505C34" w:rsidRDefault="00831977" w:rsidP="00C60F53">
            <w:pPr>
              <w:autoSpaceDE w:val="0"/>
              <w:autoSpaceDN w:val="0"/>
              <w:adjustRightInd w:val="0"/>
              <w:jc w:val="both"/>
              <w:rPr>
                <w:rFonts w:ascii="Times New Roman" w:hAnsi="Times New Roman"/>
              </w:rPr>
            </w:pPr>
            <w:r w:rsidRPr="00505C34">
              <w:rPr>
                <w:rFonts w:ascii="Times New Roman" w:hAnsi="Times New Roman"/>
              </w:rPr>
              <w:t>Prasības mīkstajiem bruņu paneļiem (mīkstajam ballistiskajam materiālam) – Vispārīgās tehniskās prasības: “Mīkstie bruņu paneļi ievietojami uzkabes vestes priekšējā un aizmugurējā pārvalka daļās, nodrošinot ķermeņa aizsardzību pret dažāda veida 9 mm pistoļu lodēm un šķembām.”</w:t>
            </w:r>
          </w:p>
          <w:p w14:paraId="2DDBEB2A" w14:textId="77777777" w:rsidR="00831977" w:rsidRPr="00505C34" w:rsidRDefault="00831977" w:rsidP="00C60F53">
            <w:pPr>
              <w:autoSpaceDE w:val="0"/>
              <w:autoSpaceDN w:val="0"/>
              <w:adjustRightInd w:val="0"/>
              <w:jc w:val="both"/>
              <w:rPr>
                <w:rFonts w:ascii="Times New Roman" w:hAnsi="Times New Roman"/>
              </w:rPr>
            </w:pPr>
            <w:r w:rsidRPr="00505C34">
              <w:rPr>
                <w:rFonts w:ascii="Times New Roman" w:hAnsi="Times New Roman"/>
              </w:rPr>
              <w:t>Lūdzam precizēt aizsardzības klases līmeni.</w:t>
            </w:r>
          </w:p>
        </w:tc>
      </w:tr>
      <w:tr w:rsidR="00831977" w:rsidRPr="00AF039F" w14:paraId="5EFC593A" w14:textId="77777777" w:rsidTr="00C60F53">
        <w:trPr>
          <w:trHeight w:val="577"/>
        </w:trPr>
        <w:tc>
          <w:tcPr>
            <w:tcW w:w="4503" w:type="dxa"/>
          </w:tcPr>
          <w:p w14:paraId="7A96B14C" w14:textId="77777777" w:rsidR="00831977" w:rsidRPr="004E13C8" w:rsidRDefault="00831977" w:rsidP="00C60F53">
            <w:pPr>
              <w:jc w:val="both"/>
              <w:rPr>
                <w:rFonts w:ascii="Times New Roman" w:hAnsi="Times New Roman"/>
                <w:b/>
                <w:szCs w:val="24"/>
              </w:rPr>
            </w:pPr>
            <w:r w:rsidRPr="004E13C8">
              <w:rPr>
                <w:rFonts w:ascii="Times New Roman" w:hAnsi="Times New Roman"/>
                <w:b/>
                <w:szCs w:val="24"/>
              </w:rPr>
              <w:t>Answer:</w:t>
            </w:r>
          </w:p>
          <w:p w14:paraId="021C9A1D" w14:textId="77777777" w:rsidR="00831977" w:rsidRPr="004E13C8" w:rsidRDefault="00831977" w:rsidP="00C60F53">
            <w:pPr>
              <w:jc w:val="both"/>
              <w:rPr>
                <w:rFonts w:ascii="Times New Roman" w:hAnsi="Times New Roman"/>
                <w:b/>
                <w:szCs w:val="24"/>
              </w:rPr>
            </w:pPr>
            <w:r w:rsidRPr="004E13C8">
              <w:rPr>
                <w:rFonts w:ascii="Times New Roman" w:hAnsi="Times New Roman"/>
                <w:szCs w:val="24"/>
                <w:lang w:val="en-US"/>
              </w:rPr>
              <w:t>See answer to question 3.</w:t>
            </w:r>
          </w:p>
        </w:tc>
        <w:tc>
          <w:tcPr>
            <w:tcW w:w="4503" w:type="dxa"/>
          </w:tcPr>
          <w:p w14:paraId="1E50F46C" w14:textId="77777777" w:rsidR="00831977" w:rsidRPr="004E13C8" w:rsidRDefault="00831977" w:rsidP="00C60F53">
            <w:pPr>
              <w:widowControl w:val="0"/>
              <w:ind w:right="103"/>
              <w:jc w:val="both"/>
              <w:rPr>
                <w:rFonts w:ascii="Times New Roman" w:hAnsi="Times New Roman"/>
                <w:b/>
                <w:szCs w:val="24"/>
              </w:rPr>
            </w:pPr>
            <w:r w:rsidRPr="004E13C8">
              <w:rPr>
                <w:rFonts w:ascii="Times New Roman" w:hAnsi="Times New Roman"/>
                <w:b/>
                <w:szCs w:val="24"/>
              </w:rPr>
              <w:t>Atbilde:</w:t>
            </w:r>
          </w:p>
          <w:p w14:paraId="22BD9B52" w14:textId="77777777" w:rsidR="00831977" w:rsidRPr="00464F50" w:rsidRDefault="00831977" w:rsidP="00C60F53">
            <w:pPr>
              <w:jc w:val="both"/>
              <w:rPr>
                <w:rFonts w:ascii="Times New Roman" w:hAnsi="Times New Roman"/>
                <w:szCs w:val="24"/>
              </w:rPr>
            </w:pPr>
            <w:r w:rsidRPr="004E13C8">
              <w:rPr>
                <w:rFonts w:ascii="Times New Roman" w:hAnsi="Times New Roman"/>
                <w:szCs w:val="24"/>
              </w:rPr>
              <w:t>Skatīt atbildi uz 3.jautājumu.</w:t>
            </w:r>
          </w:p>
        </w:tc>
      </w:tr>
      <w:tr w:rsidR="00831977" w:rsidRPr="00AF039F" w14:paraId="481C3D95" w14:textId="77777777" w:rsidTr="00C60F53">
        <w:trPr>
          <w:trHeight w:val="1685"/>
        </w:trPr>
        <w:tc>
          <w:tcPr>
            <w:tcW w:w="4503" w:type="dxa"/>
          </w:tcPr>
          <w:p w14:paraId="11F7E801" w14:textId="77777777" w:rsidR="00831977" w:rsidRPr="001245C8" w:rsidRDefault="00831977" w:rsidP="00C60F53">
            <w:pPr>
              <w:jc w:val="both"/>
              <w:rPr>
                <w:rFonts w:ascii="Times New Roman" w:hAnsi="Times New Roman"/>
                <w:b/>
                <w:szCs w:val="24"/>
              </w:rPr>
            </w:pPr>
            <w:r>
              <w:rPr>
                <w:rFonts w:ascii="Times New Roman" w:hAnsi="Times New Roman"/>
                <w:b/>
                <w:szCs w:val="24"/>
              </w:rPr>
              <w:t>Question No.8</w:t>
            </w:r>
            <w:r w:rsidRPr="001245C8">
              <w:rPr>
                <w:rFonts w:ascii="Times New Roman" w:hAnsi="Times New Roman"/>
                <w:b/>
                <w:szCs w:val="24"/>
              </w:rPr>
              <w:t>:</w:t>
            </w:r>
          </w:p>
          <w:p w14:paraId="6E8C3159" w14:textId="77777777" w:rsidR="00831977" w:rsidRPr="004E13C8" w:rsidRDefault="00831977" w:rsidP="00C60F53">
            <w:pPr>
              <w:jc w:val="both"/>
              <w:rPr>
                <w:rFonts w:ascii="Times New Roman" w:hAnsi="Times New Roman"/>
                <w:szCs w:val="24"/>
                <w:lang w:val="en-US"/>
              </w:rPr>
            </w:pPr>
            <w:r w:rsidRPr="004E13C8">
              <w:rPr>
                <w:rFonts w:ascii="Times New Roman" w:hAnsi="Times New Roman"/>
                <w:szCs w:val="24"/>
                <w:lang w:val="en-US"/>
              </w:rPr>
              <w:t>Other specific requirements: “1. In accordance with the customer’s instructions, the manufacturer can change up to 30% of the construction”.</w:t>
            </w:r>
          </w:p>
          <w:p w14:paraId="134E0C03" w14:textId="77777777" w:rsidR="00831977" w:rsidRDefault="00831977" w:rsidP="00C60F53">
            <w:pPr>
              <w:jc w:val="both"/>
              <w:rPr>
                <w:rFonts w:ascii="Times New Roman" w:hAnsi="Times New Roman"/>
                <w:szCs w:val="24"/>
                <w:lang w:val="en-US"/>
              </w:rPr>
            </w:pPr>
            <w:r w:rsidRPr="004E13C8">
              <w:rPr>
                <w:rFonts w:ascii="Times New Roman" w:hAnsi="Times New Roman"/>
                <w:szCs w:val="24"/>
                <w:lang w:val="en-US"/>
              </w:rPr>
              <w:t xml:space="preserve">Please specify what </w:t>
            </w:r>
            <w:r>
              <w:rPr>
                <w:rFonts w:ascii="Times New Roman" w:hAnsi="Times New Roman"/>
                <w:szCs w:val="24"/>
                <w:lang w:val="en-US"/>
              </w:rPr>
              <w:t>the construction</w:t>
            </w:r>
            <w:r w:rsidRPr="004E13C8">
              <w:rPr>
                <w:rFonts w:ascii="Times New Roman" w:hAnsi="Times New Roman"/>
                <w:szCs w:val="24"/>
                <w:lang w:val="en-US"/>
              </w:rPr>
              <w:t xml:space="preserve"> changes are </w:t>
            </w:r>
            <w:r>
              <w:rPr>
                <w:rFonts w:ascii="Times New Roman" w:hAnsi="Times New Roman"/>
                <w:szCs w:val="24"/>
                <w:lang w:val="en-US"/>
              </w:rPr>
              <w:t xml:space="preserve">in </w:t>
            </w:r>
            <w:r w:rsidRPr="004E13C8">
              <w:rPr>
                <w:rFonts w:ascii="Times New Roman" w:hAnsi="Times New Roman"/>
                <w:szCs w:val="24"/>
                <w:lang w:val="en-US"/>
              </w:rPr>
              <w:t>30%?</w:t>
            </w:r>
          </w:p>
          <w:p w14:paraId="342F7920" w14:textId="77777777" w:rsidR="00831977" w:rsidRPr="004E13C8" w:rsidRDefault="00831977" w:rsidP="00C60F53">
            <w:pPr>
              <w:jc w:val="both"/>
              <w:rPr>
                <w:rFonts w:ascii="Times New Roman" w:hAnsi="Times New Roman"/>
                <w:szCs w:val="24"/>
                <w:lang w:val="en-GB"/>
              </w:rPr>
            </w:pPr>
          </w:p>
        </w:tc>
        <w:tc>
          <w:tcPr>
            <w:tcW w:w="4503" w:type="dxa"/>
          </w:tcPr>
          <w:p w14:paraId="1C4696A5" w14:textId="77777777" w:rsidR="00831977" w:rsidRDefault="00831977" w:rsidP="00C60F53">
            <w:pPr>
              <w:jc w:val="both"/>
              <w:rPr>
                <w:rFonts w:ascii="Times New Roman" w:hAnsi="Times New Roman"/>
                <w:b/>
                <w:szCs w:val="24"/>
              </w:rPr>
            </w:pPr>
            <w:r>
              <w:rPr>
                <w:rFonts w:ascii="Times New Roman" w:hAnsi="Times New Roman"/>
                <w:b/>
                <w:szCs w:val="24"/>
              </w:rPr>
              <w:t>Jautājums Nr.8</w:t>
            </w:r>
            <w:r w:rsidRPr="00AF039F">
              <w:rPr>
                <w:rFonts w:ascii="Times New Roman" w:hAnsi="Times New Roman"/>
                <w:b/>
                <w:szCs w:val="24"/>
              </w:rPr>
              <w:t>:</w:t>
            </w:r>
          </w:p>
          <w:p w14:paraId="5B0DFF7F" w14:textId="77777777" w:rsidR="00831977" w:rsidRPr="00505C34" w:rsidRDefault="00831977" w:rsidP="00C60F53">
            <w:pPr>
              <w:jc w:val="both"/>
              <w:rPr>
                <w:rFonts w:ascii="Times New Roman" w:hAnsi="Times New Roman"/>
                <w:b/>
                <w:szCs w:val="24"/>
              </w:rPr>
            </w:pPr>
            <w:r w:rsidRPr="001245C8">
              <w:rPr>
                <w:rFonts w:ascii="Times New Roman" w:hAnsi="Times New Roman"/>
                <w:szCs w:val="24"/>
                <w:lang w:eastAsia="en-US"/>
              </w:rPr>
              <w:t>Citas specifiskas prasības: “</w:t>
            </w:r>
            <w:r w:rsidRPr="001245C8">
              <w:rPr>
                <w:rFonts w:ascii="Times New Roman" w:eastAsia="Calibri" w:hAnsi="Times New Roman"/>
                <w:szCs w:val="24"/>
                <w:lang w:eastAsia="en-US"/>
              </w:rPr>
              <w:t>1. Atbilstoši pasūtītāja norādījumiem ražotājs spēj veikt izmaiņas konstrukcijā līdz pat 30 %.</w:t>
            </w:r>
            <w:r w:rsidRPr="001245C8">
              <w:rPr>
                <w:rFonts w:ascii="Times New Roman" w:hAnsi="Times New Roman"/>
                <w:szCs w:val="24"/>
                <w:lang w:eastAsia="en-US"/>
              </w:rPr>
              <w:t>”</w:t>
            </w:r>
          </w:p>
          <w:p w14:paraId="430F96E2" w14:textId="77777777" w:rsidR="00831977" w:rsidRPr="00505C34" w:rsidRDefault="00831977" w:rsidP="00C60F53">
            <w:pPr>
              <w:tabs>
                <w:tab w:val="center" w:pos="4153"/>
                <w:tab w:val="right" w:pos="8306"/>
              </w:tabs>
              <w:spacing w:after="200" w:line="276" w:lineRule="auto"/>
              <w:jc w:val="both"/>
              <w:rPr>
                <w:rFonts w:ascii="Times New Roman" w:hAnsi="Times New Roman"/>
                <w:szCs w:val="24"/>
                <w:lang w:eastAsia="en-US"/>
              </w:rPr>
            </w:pPr>
            <w:r w:rsidRPr="001245C8">
              <w:rPr>
                <w:rFonts w:ascii="Times New Roman" w:hAnsi="Times New Roman"/>
                <w:szCs w:val="24"/>
                <w:lang w:eastAsia="en-US"/>
              </w:rPr>
              <w:t>Lūdzu precizēt kādas konstrukcijas izmaiņas ietilpst 30%?</w:t>
            </w:r>
          </w:p>
        </w:tc>
      </w:tr>
      <w:tr w:rsidR="00831977" w:rsidRPr="00AF039F" w14:paraId="78E9F376" w14:textId="77777777" w:rsidTr="00C60F53">
        <w:trPr>
          <w:trHeight w:val="53"/>
        </w:trPr>
        <w:tc>
          <w:tcPr>
            <w:tcW w:w="4503" w:type="dxa"/>
          </w:tcPr>
          <w:p w14:paraId="7E736307" w14:textId="77777777" w:rsidR="00831977" w:rsidRPr="004E13C8" w:rsidRDefault="00831977" w:rsidP="00C60F53">
            <w:pPr>
              <w:jc w:val="both"/>
              <w:rPr>
                <w:rFonts w:ascii="Times New Roman" w:hAnsi="Times New Roman"/>
                <w:b/>
                <w:szCs w:val="24"/>
              </w:rPr>
            </w:pPr>
            <w:r w:rsidRPr="004E13C8">
              <w:rPr>
                <w:rFonts w:ascii="Times New Roman" w:hAnsi="Times New Roman"/>
                <w:b/>
                <w:szCs w:val="24"/>
              </w:rPr>
              <w:t>Answer:</w:t>
            </w:r>
          </w:p>
          <w:p w14:paraId="2BAB04F2" w14:textId="77777777" w:rsidR="00831977" w:rsidRPr="004E13C8" w:rsidRDefault="00831977" w:rsidP="00C60F53">
            <w:pPr>
              <w:jc w:val="both"/>
              <w:rPr>
                <w:rFonts w:ascii="Times New Roman" w:hAnsi="Times New Roman"/>
                <w:b/>
                <w:szCs w:val="24"/>
              </w:rPr>
            </w:pPr>
            <w:r w:rsidRPr="004E13C8">
              <w:rPr>
                <w:rFonts w:ascii="Times New Roman" w:hAnsi="Times New Roman"/>
                <w:szCs w:val="24"/>
                <w:lang w:val="en-US"/>
              </w:rPr>
              <w:t>See answer to question 3.</w:t>
            </w:r>
          </w:p>
        </w:tc>
        <w:tc>
          <w:tcPr>
            <w:tcW w:w="4503" w:type="dxa"/>
          </w:tcPr>
          <w:p w14:paraId="5AE98610" w14:textId="77777777" w:rsidR="00831977" w:rsidRPr="004E13C8" w:rsidRDefault="00831977" w:rsidP="00C60F53">
            <w:pPr>
              <w:widowControl w:val="0"/>
              <w:ind w:right="103"/>
              <w:jc w:val="both"/>
              <w:rPr>
                <w:rFonts w:ascii="Times New Roman" w:hAnsi="Times New Roman"/>
                <w:b/>
                <w:szCs w:val="24"/>
              </w:rPr>
            </w:pPr>
            <w:r w:rsidRPr="004E13C8">
              <w:rPr>
                <w:rFonts w:ascii="Times New Roman" w:hAnsi="Times New Roman"/>
                <w:b/>
                <w:szCs w:val="24"/>
              </w:rPr>
              <w:t>Atbilde:</w:t>
            </w:r>
          </w:p>
          <w:p w14:paraId="4BC8FEF6" w14:textId="77777777" w:rsidR="00831977" w:rsidRPr="00464F50" w:rsidRDefault="00831977" w:rsidP="00C60F53">
            <w:pPr>
              <w:jc w:val="both"/>
              <w:rPr>
                <w:rFonts w:ascii="Times New Roman" w:hAnsi="Times New Roman"/>
                <w:szCs w:val="24"/>
              </w:rPr>
            </w:pPr>
            <w:r w:rsidRPr="004E13C8">
              <w:rPr>
                <w:rFonts w:ascii="Times New Roman" w:hAnsi="Times New Roman"/>
                <w:szCs w:val="24"/>
              </w:rPr>
              <w:t>Skatīt atbildi uz 3.jautājumu.</w:t>
            </w:r>
          </w:p>
        </w:tc>
      </w:tr>
      <w:tr w:rsidR="00831977" w:rsidRPr="00AF039F" w14:paraId="7DDA9673" w14:textId="77777777" w:rsidTr="00C60F53">
        <w:trPr>
          <w:trHeight w:val="904"/>
        </w:trPr>
        <w:tc>
          <w:tcPr>
            <w:tcW w:w="4503" w:type="dxa"/>
          </w:tcPr>
          <w:p w14:paraId="422DFCBD" w14:textId="77777777" w:rsidR="00831977" w:rsidRPr="001245C8" w:rsidRDefault="00831977" w:rsidP="00C60F53">
            <w:pPr>
              <w:jc w:val="both"/>
              <w:rPr>
                <w:rFonts w:ascii="Times New Roman" w:hAnsi="Times New Roman"/>
                <w:b/>
                <w:szCs w:val="24"/>
              </w:rPr>
            </w:pPr>
            <w:r>
              <w:rPr>
                <w:rFonts w:ascii="Times New Roman" w:hAnsi="Times New Roman"/>
                <w:b/>
                <w:szCs w:val="24"/>
              </w:rPr>
              <w:t>Question No.9</w:t>
            </w:r>
            <w:r w:rsidRPr="001245C8">
              <w:rPr>
                <w:rFonts w:ascii="Times New Roman" w:hAnsi="Times New Roman"/>
                <w:b/>
                <w:szCs w:val="24"/>
              </w:rPr>
              <w:t>:</w:t>
            </w:r>
          </w:p>
          <w:p w14:paraId="7945B6B3" w14:textId="77777777" w:rsidR="00831977" w:rsidRDefault="00831977" w:rsidP="00C60F53">
            <w:pPr>
              <w:jc w:val="both"/>
              <w:rPr>
                <w:rFonts w:ascii="Times New Roman" w:hAnsi="Times New Roman"/>
                <w:szCs w:val="24"/>
                <w:lang w:val="en-US"/>
              </w:rPr>
            </w:pPr>
            <w:r w:rsidRPr="009B294D">
              <w:rPr>
                <w:rFonts w:ascii="Times New Roman" w:hAnsi="Times New Roman"/>
                <w:szCs w:val="24"/>
                <w:lang w:val="en-US"/>
              </w:rPr>
              <w:t xml:space="preserve">According to </w:t>
            </w:r>
            <w:r>
              <w:rPr>
                <w:rFonts w:ascii="Times New Roman" w:hAnsi="Times New Roman"/>
                <w:szCs w:val="24"/>
                <w:lang w:val="en-US"/>
              </w:rPr>
              <w:t>Clause</w:t>
            </w:r>
            <w:r w:rsidRPr="009B294D">
              <w:rPr>
                <w:rFonts w:ascii="Times New Roman" w:hAnsi="Times New Roman"/>
                <w:szCs w:val="24"/>
                <w:lang w:val="en-US"/>
              </w:rPr>
              <w:t xml:space="preserve"> 3.2. of the </w:t>
            </w:r>
            <w:r>
              <w:rPr>
                <w:rFonts w:ascii="Times New Roman" w:hAnsi="Times New Roman"/>
                <w:szCs w:val="24"/>
                <w:lang w:val="en-US"/>
              </w:rPr>
              <w:t>Regulations</w:t>
            </w:r>
          </w:p>
          <w:p w14:paraId="027EDB48" w14:textId="77777777" w:rsidR="00831977" w:rsidRPr="009B294D" w:rsidRDefault="00831977" w:rsidP="00C60F53">
            <w:pPr>
              <w:jc w:val="both"/>
              <w:rPr>
                <w:rFonts w:ascii="Times New Roman" w:hAnsi="Times New Roman"/>
                <w:szCs w:val="24"/>
                <w:lang w:val="en-US"/>
              </w:rPr>
            </w:pPr>
            <w:r>
              <w:rPr>
                <w:rFonts w:ascii="Times New Roman" w:hAnsi="Times New Roman"/>
                <w:szCs w:val="24"/>
                <w:lang w:val="en-US"/>
              </w:rPr>
              <w:t>Candidate shall submit</w:t>
            </w:r>
            <w:r>
              <w:t xml:space="preserve"> </w:t>
            </w:r>
            <w:r w:rsidRPr="009B294D">
              <w:rPr>
                <w:rFonts w:ascii="Times New Roman" w:hAnsi="Times New Roman"/>
              </w:rPr>
              <w:t xml:space="preserve">an </w:t>
            </w:r>
            <w:r w:rsidRPr="009B294D">
              <w:rPr>
                <w:rFonts w:ascii="Times New Roman" w:hAnsi="Times New Roman"/>
                <w:szCs w:val="24"/>
                <w:lang w:val="en-US"/>
              </w:rPr>
              <w:t xml:space="preserve">extract from Candidate’s certified balance sheet of previous report year (year 2017). In our case, the previous approved balance sheet </w:t>
            </w:r>
            <w:r>
              <w:rPr>
                <w:rFonts w:ascii="Times New Roman" w:hAnsi="Times New Roman"/>
                <w:szCs w:val="24"/>
                <w:lang w:val="en-US"/>
              </w:rPr>
              <w:t>at the time of A</w:t>
            </w:r>
            <w:r w:rsidRPr="009B294D">
              <w:rPr>
                <w:rFonts w:ascii="Times New Roman" w:hAnsi="Times New Roman"/>
                <w:szCs w:val="24"/>
                <w:lang w:val="en-US"/>
              </w:rPr>
              <w:t>pplication will be</w:t>
            </w:r>
            <w:r>
              <w:rPr>
                <w:rFonts w:ascii="Times New Roman" w:hAnsi="Times New Roman"/>
                <w:szCs w:val="24"/>
                <w:lang w:val="en-US"/>
              </w:rPr>
              <w:t xml:space="preserve"> 2018. Please confirm that the C</w:t>
            </w:r>
            <w:r w:rsidRPr="009B294D">
              <w:rPr>
                <w:rFonts w:ascii="Times New Roman" w:hAnsi="Times New Roman"/>
                <w:szCs w:val="24"/>
                <w:lang w:val="en-US"/>
              </w:rPr>
              <w:t xml:space="preserve">andidate to </w:t>
            </w:r>
            <w:r>
              <w:rPr>
                <w:rFonts w:ascii="Times New Roman" w:hAnsi="Times New Roman"/>
                <w:szCs w:val="24"/>
                <w:lang w:val="en-US"/>
              </w:rPr>
              <w:t xml:space="preserve">certify </w:t>
            </w:r>
            <w:r w:rsidRPr="009B294D">
              <w:rPr>
                <w:rFonts w:ascii="Times New Roman" w:hAnsi="Times New Roman"/>
                <w:szCs w:val="24"/>
                <w:lang w:val="en-US"/>
              </w:rPr>
              <w:t xml:space="preserve">compliance with </w:t>
            </w:r>
            <w:r>
              <w:rPr>
                <w:rFonts w:ascii="Times New Roman" w:hAnsi="Times New Roman"/>
                <w:szCs w:val="24"/>
                <w:lang w:val="en-US"/>
              </w:rPr>
              <w:t xml:space="preserve">Clause </w:t>
            </w:r>
            <w:r w:rsidRPr="009B294D">
              <w:rPr>
                <w:rFonts w:ascii="Times New Roman" w:hAnsi="Times New Roman"/>
                <w:szCs w:val="24"/>
                <w:lang w:val="en-US"/>
              </w:rPr>
              <w:t xml:space="preserve">3.2. of the </w:t>
            </w:r>
            <w:r>
              <w:rPr>
                <w:rFonts w:ascii="Times New Roman" w:hAnsi="Times New Roman"/>
                <w:szCs w:val="24"/>
                <w:lang w:val="en-US"/>
              </w:rPr>
              <w:t>Regulations</w:t>
            </w:r>
            <w:r w:rsidRPr="009B294D">
              <w:rPr>
                <w:rFonts w:ascii="Times New Roman" w:hAnsi="Times New Roman"/>
                <w:szCs w:val="24"/>
                <w:lang w:val="en-US"/>
              </w:rPr>
              <w:t xml:space="preserve"> </w:t>
            </w:r>
            <w:r>
              <w:rPr>
                <w:rFonts w:ascii="Times New Roman" w:hAnsi="Times New Roman"/>
                <w:szCs w:val="24"/>
                <w:lang w:val="en-US"/>
              </w:rPr>
              <w:t>may submit 2018 year extract</w:t>
            </w:r>
            <w:r w:rsidRPr="009B294D">
              <w:rPr>
                <w:rFonts w:ascii="Times New Roman" w:hAnsi="Times New Roman"/>
                <w:szCs w:val="24"/>
                <w:lang w:val="en-US"/>
              </w:rPr>
              <w:t>.</w:t>
            </w:r>
          </w:p>
        </w:tc>
        <w:tc>
          <w:tcPr>
            <w:tcW w:w="4503" w:type="dxa"/>
          </w:tcPr>
          <w:p w14:paraId="57AEFC26"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Nr.9</w:t>
            </w:r>
            <w:r w:rsidRPr="00AF039F">
              <w:rPr>
                <w:rFonts w:ascii="Times New Roman" w:hAnsi="Times New Roman"/>
                <w:b/>
                <w:szCs w:val="24"/>
              </w:rPr>
              <w:t>:</w:t>
            </w:r>
          </w:p>
          <w:p w14:paraId="6F0C10FA" w14:textId="77777777" w:rsidR="00831977" w:rsidRDefault="00831977" w:rsidP="00C60F53">
            <w:pPr>
              <w:tabs>
                <w:tab w:val="center" w:pos="4153"/>
                <w:tab w:val="right" w:pos="8306"/>
              </w:tabs>
              <w:jc w:val="both"/>
              <w:rPr>
                <w:rFonts w:ascii="Times New Roman" w:eastAsia="Calibri" w:hAnsi="Times New Roman"/>
                <w:szCs w:val="24"/>
                <w:lang w:eastAsia="en-US"/>
              </w:rPr>
            </w:pPr>
            <w:r w:rsidRPr="00505C34">
              <w:rPr>
                <w:rFonts w:ascii="Times New Roman" w:eastAsia="Calibri" w:hAnsi="Times New Roman"/>
                <w:szCs w:val="24"/>
                <w:lang w:eastAsia="en-US"/>
              </w:rPr>
              <w:t>Saskaņā ar nolikuma 3.2. punktu kandidātam jāiesniedz apstiprinātā gada pārskata par iepriekšējo pārskata periodu (2017.gadu) izraksts. Mūsu gadījumā iepriekšējais apstiprinātais gada pārskats uz pieteikuma iesniegšanas brīdi būs par 2018. gadu. Lūdzam apstiprināt, ka kandidāts, lai apliecinātu atbilstību 3.2. punkta prasībām, var iesniegt izrakstu no 2018. gada apstiprinātā gada pārskata.</w:t>
            </w:r>
          </w:p>
          <w:p w14:paraId="3CF42920" w14:textId="77777777" w:rsidR="00831977" w:rsidRPr="00505C34" w:rsidRDefault="00831977" w:rsidP="00C60F53">
            <w:pPr>
              <w:tabs>
                <w:tab w:val="center" w:pos="4153"/>
                <w:tab w:val="right" w:pos="8306"/>
              </w:tabs>
              <w:jc w:val="both"/>
              <w:rPr>
                <w:rFonts w:ascii="Times New Roman" w:eastAsia="Calibri" w:hAnsi="Times New Roman"/>
                <w:szCs w:val="24"/>
                <w:lang w:eastAsia="en-US"/>
              </w:rPr>
            </w:pPr>
          </w:p>
        </w:tc>
      </w:tr>
      <w:tr w:rsidR="00831977" w:rsidRPr="00AF039F" w14:paraId="78C1FA9B" w14:textId="77777777" w:rsidTr="00C60F53">
        <w:trPr>
          <w:trHeight w:val="904"/>
        </w:trPr>
        <w:tc>
          <w:tcPr>
            <w:tcW w:w="4503" w:type="dxa"/>
          </w:tcPr>
          <w:p w14:paraId="45CAB436" w14:textId="77777777" w:rsidR="00831977" w:rsidRPr="001245C8" w:rsidRDefault="00831977" w:rsidP="00C60F53">
            <w:pPr>
              <w:jc w:val="both"/>
              <w:rPr>
                <w:rFonts w:ascii="Times New Roman" w:hAnsi="Times New Roman"/>
                <w:b/>
                <w:szCs w:val="24"/>
              </w:rPr>
            </w:pPr>
            <w:r w:rsidRPr="001245C8">
              <w:rPr>
                <w:rFonts w:ascii="Times New Roman" w:hAnsi="Times New Roman"/>
                <w:b/>
                <w:szCs w:val="24"/>
              </w:rPr>
              <w:t>Answer:</w:t>
            </w:r>
          </w:p>
          <w:p w14:paraId="0C704DF8" w14:textId="77777777" w:rsidR="00831977" w:rsidRPr="0011537E"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en"/>
              </w:rPr>
            </w:pPr>
            <w:r w:rsidRPr="0011537E">
              <w:rPr>
                <w:rFonts w:ascii="Times New Roman" w:hAnsi="Times New Roman"/>
                <w:szCs w:val="24"/>
                <w:lang w:val="en"/>
              </w:rPr>
              <w:t xml:space="preserve">In order to ensure equal and fair treatment of all suppliers and taking into account </w:t>
            </w:r>
            <w:r w:rsidRPr="0011537E">
              <w:rPr>
                <w:rFonts w:ascii="Times New Roman" w:hAnsi="Times New Roman"/>
                <w:szCs w:val="24"/>
                <w:lang w:val="en-US"/>
              </w:rPr>
              <w:t>the requirements of regulatory enactments</w:t>
            </w:r>
            <w:r w:rsidRPr="0011537E">
              <w:rPr>
                <w:rFonts w:ascii="Times New Roman" w:hAnsi="Times New Roman"/>
                <w:szCs w:val="24"/>
                <w:lang w:val="en"/>
              </w:rPr>
              <w:t xml:space="preserve"> that the deadline for submission of annual reports has not yet entered, according to the requirement of Clause 3.2 of the Regulations of Negotiated Procedure, the candidate must submit an extract of the approved annual report for the previous reporting period (2017).</w:t>
            </w:r>
          </w:p>
        </w:tc>
        <w:tc>
          <w:tcPr>
            <w:tcW w:w="4503" w:type="dxa"/>
          </w:tcPr>
          <w:p w14:paraId="4B6BC81C" w14:textId="77777777" w:rsidR="00831977" w:rsidRPr="00AF039F" w:rsidRDefault="00831977" w:rsidP="00C60F53">
            <w:pPr>
              <w:widowControl w:val="0"/>
              <w:ind w:right="103"/>
              <w:jc w:val="both"/>
              <w:rPr>
                <w:rFonts w:ascii="Times New Roman" w:hAnsi="Times New Roman"/>
                <w:b/>
                <w:szCs w:val="24"/>
              </w:rPr>
            </w:pPr>
            <w:r w:rsidRPr="00AF039F">
              <w:rPr>
                <w:rFonts w:ascii="Times New Roman" w:hAnsi="Times New Roman"/>
                <w:b/>
                <w:szCs w:val="24"/>
              </w:rPr>
              <w:t>Atbilde:</w:t>
            </w:r>
          </w:p>
          <w:p w14:paraId="00E8A9AD" w14:textId="77777777" w:rsidR="00831977" w:rsidRPr="00872D81" w:rsidRDefault="00831977" w:rsidP="00C60F53">
            <w:pPr>
              <w:widowControl w:val="0"/>
              <w:ind w:right="103"/>
              <w:jc w:val="both"/>
              <w:rPr>
                <w:rFonts w:ascii="Times New Roman" w:hAnsi="Times New Roman"/>
                <w:szCs w:val="24"/>
              </w:rPr>
            </w:pPr>
            <w:r w:rsidRPr="009B294D">
              <w:rPr>
                <w:rFonts w:ascii="Times New Roman" w:eastAsia="Calibri" w:hAnsi="Times New Roman"/>
                <w:szCs w:val="24"/>
                <w:lang w:eastAsia="en-US"/>
              </w:rPr>
              <w:t>Lai nodrošinātu vienlīdzīgu un taisnīgu attieksmi pret visiem piegādātājiem un, ņemot vērā normatīvajos aktos noteikto, ka gada pārskatu iesniegšanas termiņš</w:t>
            </w:r>
            <w:r w:rsidRPr="009B294D">
              <w:rPr>
                <w:rFonts w:ascii="Times New Roman" w:hAnsi="Times New Roman"/>
                <w:szCs w:val="24"/>
              </w:rPr>
              <w:t xml:space="preserve"> vēl nav iestājies, saskaņā ar sarunu procedūras nolikuma 3.2.punkta prasību kandidātam </w:t>
            </w:r>
            <w:r w:rsidRPr="009B294D">
              <w:rPr>
                <w:rFonts w:ascii="Times New Roman" w:eastAsia="Calibri" w:hAnsi="Times New Roman"/>
                <w:szCs w:val="24"/>
                <w:lang w:eastAsia="en-US"/>
              </w:rPr>
              <w:t xml:space="preserve">jāiesniedz apstiprinātā gada pārskata par iepriekšējo pārskata periodu (2017.gadu) izraksts. </w:t>
            </w:r>
          </w:p>
        </w:tc>
      </w:tr>
      <w:tr w:rsidR="00831977" w:rsidRPr="00AF039F" w14:paraId="46030D9C" w14:textId="77777777" w:rsidTr="00C60F53">
        <w:trPr>
          <w:trHeight w:val="904"/>
        </w:trPr>
        <w:tc>
          <w:tcPr>
            <w:tcW w:w="4503" w:type="dxa"/>
          </w:tcPr>
          <w:p w14:paraId="44B80552" w14:textId="77777777" w:rsidR="00831977" w:rsidRPr="001245C8" w:rsidRDefault="00831977" w:rsidP="00C60F53">
            <w:pPr>
              <w:jc w:val="both"/>
              <w:rPr>
                <w:rFonts w:ascii="Times New Roman" w:hAnsi="Times New Roman"/>
                <w:b/>
                <w:szCs w:val="24"/>
              </w:rPr>
            </w:pPr>
            <w:r>
              <w:rPr>
                <w:rFonts w:ascii="Times New Roman" w:hAnsi="Times New Roman"/>
                <w:b/>
                <w:szCs w:val="24"/>
              </w:rPr>
              <w:t>Question No.10</w:t>
            </w:r>
            <w:r w:rsidRPr="001245C8">
              <w:rPr>
                <w:rFonts w:ascii="Times New Roman" w:hAnsi="Times New Roman"/>
                <w:b/>
                <w:szCs w:val="24"/>
              </w:rPr>
              <w:t>:</w:t>
            </w:r>
          </w:p>
          <w:p w14:paraId="62B0E74A" w14:textId="77777777" w:rsidR="00831977"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en"/>
              </w:rPr>
            </w:pPr>
            <w:r w:rsidRPr="002F5CD3">
              <w:rPr>
                <w:rFonts w:ascii="Times New Roman" w:hAnsi="Times New Roman"/>
                <w:szCs w:val="24"/>
                <w:lang w:val="en"/>
              </w:rPr>
              <w:t>C</w:t>
            </w:r>
            <w:r w:rsidRPr="0011537E">
              <w:rPr>
                <w:rFonts w:ascii="Times New Roman" w:hAnsi="Times New Roman"/>
                <w:szCs w:val="24"/>
                <w:lang w:val="en"/>
              </w:rPr>
              <w:t>onsidering the things mentioned above</w:t>
            </w:r>
            <w:r w:rsidRPr="002F5CD3">
              <w:rPr>
                <w:rFonts w:ascii="Times New Roman" w:hAnsi="Times New Roman"/>
                <w:szCs w:val="24"/>
              </w:rPr>
              <w:t xml:space="preserve"> (Question No.9) </w:t>
            </w:r>
            <w:r w:rsidRPr="0011537E">
              <w:rPr>
                <w:rFonts w:ascii="Times New Roman" w:hAnsi="Times New Roman"/>
                <w:szCs w:val="24"/>
                <w:lang w:val="en"/>
              </w:rPr>
              <w:t xml:space="preserve">and </w:t>
            </w:r>
            <w:r w:rsidRPr="002F5CD3">
              <w:rPr>
                <w:rFonts w:ascii="Times New Roman" w:hAnsi="Times New Roman"/>
                <w:szCs w:val="24"/>
                <w:lang w:val="en"/>
              </w:rPr>
              <w:t>Point 3 Part 1 Article 14 of the Law on Public Procurement in the Fields of Defence and Security of the Republic of Latvia</w:t>
            </w:r>
            <w:r w:rsidRPr="0011537E">
              <w:rPr>
                <w:rFonts w:ascii="Times New Roman" w:hAnsi="Times New Roman"/>
                <w:szCs w:val="24"/>
                <w:lang w:val="en"/>
              </w:rPr>
              <w:t xml:space="preserve">, please confirm that in order to </w:t>
            </w:r>
            <w:r w:rsidRPr="002F5CD3">
              <w:rPr>
                <w:rFonts w:ascii="Times New Roman" w:hAnsi="Times New Roman"/>
                <w:szCs w:val="24"/>
                <w:lang w:val="en"/>
              </w:rPr>
              <w:t>certify</w:t>
            </w:r>
            <w:r w:rsidRPr="0011537E">
              <w:rPr>
                <w:rFonts w:ascii="Times New Roman" w:hAnsi="Times New Roman"/>
                <w:szCs w:val="24"/>
                <w:lang w:val="en"/>
              </w:rPr>
              <w:t xml:space="preserve"> compliance with </w:t>
            </w:r>
            <w:r w:rsidRPr="002F5CD3">
              <w:rPr>
                <w:rFonts w:ascii="Times New Roman" w:hAnsi="Times New Roman"/>
                <w:szCs w:val="24"/>
                <w:lang w:val="en"/>
              </w:rPr>
              <w:t>Clause 3.3.</w:t>
            </w:r>
            <w:r w:rsidRPr="0011537E">
              <w:rPr>
                <w:rFonts w:ascii="Times New Roman" w:hAnsi="Times New Roman"/>
                <w:szCs w:val="24"/>
                <w:lang w:val="en"/>
              </w:rPr>
              <w:t>, the candidate may submit certified statements of profit and loss accounts for the previous 3 (three) financial years (2018, 2017 and 2016).</w:t>
            </w:r>
          </w:p>
          <w:p w14:paraId="37A5ED2E" w14:textId="77777777" w:rsidR="00831977" w:rsidRPr="002F5CD3"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en"/>
              </w:rPr>
            </w:pPr>
          </w:p>
        </w:tc>
        <w:tc>
          <w:tcPr>
            <w:tcW w:w="4503" w:type="dxa"/>
          </w:tcPr>
          <w:p w14:paraId="7388DBBE" w14:textId="77777777" w:rsidR="00831977" w:rsidRPr="00AF039F" w:rsidRDefault="00831977" w:rsidP="00C60F53">
            <w:pPr>
              <w:jc w:val="both"/>
              <w:rPr>
                <w:rFonts w:ascii="Times New Roman" w:hAnsi="Times New Roman"/>
                <w:b/>
                <w:szCs w:val="24"/>
              </w:rPr>
            </w:pPr>
            <w:r>
              <w:rPr>
                <w:rFonts w:ascii="Times New Roman" w:hAnsi="Times New Roman"/>
                <w:b/>
                <w:szCs w:val="24"/>
              </w:rPr>
              <w:t>Jautājums Nr.10</w:t>
            </w:r>
            <w:r w:rsidRPr="00AF039F">
              <w:rPr>
                <w:rFonts w:ascii="Times New Roman" w:hAnsi="Times New Roman"/>
                <w:b/>
                <w:szCs w:val="24"/>
              </w:rPr>
              <w:t>:</w:t>
            </w:r>
          </w:p>
          <w:p w14:paraId="646306A6" w14:textId="77777777" w:rsidR="00831977" w:rsidRPr="00505C34" w:rsidRDefault="00831977" w:rsidP="00C60F53">
            <w:pPr>
              <w:tabs>
                <w:tab w:val="center" w:pos="4153"/>
                <w:tab w:val="right" w:pos="8306"/>
              </w:tabs>
              <w:jc w:val="both"/>
              <w:rPr>
                <w:rFonts w:ascii="Times New Roman" w:eastAsia="Calibri" w:hAnsi="Times New Roman"/>
                <w:szCs w:val="24"/>
                <w:lang w:eastAsia="en-US"/>
              </w:rPr>
            </w:pPr>
            <w:r w:rsidRPr="00505C34">
              <w:rPr>
                <w:rFonts w:ascii="Times New Roman" w:eastAsia="Calibri" w:hAnsi="Times New Roman"/>
                <w:szCs w:val="24"/>
                <w:lang w:eastAsia="en-US"/>
              </w:rPr>
              <w:t>Ņemot vērā augstāk minēto</w:t>
            </w:r>
            <w:r>
              <w:rPr>
                <w:rFonts w:ascii="Times New Roman" w:eastAsia="Calibri" w:hAnsi="Times New Roman"/>
                <w:szCs w:val="24"/>
                <w:lang w:eastAsia="en-US"/>
              </w:rPr>
              <w:t xml:space="preserve"> (Jautājums Nr.9)</w:t>
            </w:r>
            <w:r w:rsidRPr="00505C34">
              <w:rPr>
                <w:rFonts w:ascii="Times New Roman" w:eastAsia="Calibri" w:hAnsi="Times New Roman"/>
                <w:szCs w:val="24"/>
                <w:lang w:eastAsia="en-US"/>
              </w:rPr>
              <w:t xml:space="preserve"> un ADJIL likuma 14. panta pirmās daļas 3. punktu, lūdzam apstiprināt, ka, lai apliecinātu atbilstību 3.3. punkta prasībām, kandidāts var iesniegt iepriekšējo 3 (trīs) finanšu gadu (2018., 2017. un 2016. gada) pārskatu apliecinātus izrakstus, kas sastāv no peļņas un zaudējumu aprēķina.</w:t>
            </w:r>
          </w:p>
        </w:tc>
      </w:tr>
      <w:tr w:rsidR="00831977" w:rsidRPr="00AF039F" w14:paraId="54AF225E" w14:textId="77777777" w:rsidTr="00C60F53">
        <w:trPr>
          <w:trHeight w:val="904"/>
        </w:trPr>
        <w:tc>
          <w:tcPr>
            <w:tcW w:w="4503" w:type="dxa"/>
          </w:tcPr>
          <w:p w14:paraId="7E2DE472" w14:textId="77777777" w:rsidR="00831977" w:rsidRPr="001245C8" w:rsidRDefault="00831977" w:rsidP="00C60F53">
            <w:pPr>
              <w:jc w:val="both"/>
              <w:rPr>
                <w:rFonts w:ascii="Times New Roman" w:hAnsi="Times New Roman"/>
                <w:b/>
                <w:szCs w:val="24"/>
              </w:rPr>
            </w:pPr>
            <w:r w:rsidRPr="001245C8">
              <w:rPr>
                <w:rFonts w:ascii="Times New Roman" w:hAnsi="Times New Roman"/>
                <w:b/>
                <w:szCs w:val="24"/>
              </w:rPr>
              <w:t>Answer:</w:t>
            </w:r>
          </w:p>
          <w:p w14:paraId="41A1F442" w14:textId="77777777" w:rsidR="00831977" w:rsidRPr="00631381" w:rsidRDefault="00831977" w:rsidP="00C6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en"/>
              </w:rPr>
            </w:pPr>
            <w:r w:rsidRPr="0011537E">
              <w:rPr>
                <w:rFonts w:ascii="Times New Roman" w:hAnsi="Times New Roman"/>
                <w:szCs w:val="24"/>
                <w:lang w:val="en"/>
              </w:rPr>
              <w:t xml:space="preserve">In order to ensure equal and fair treatment of all suppliers and taking into account </w:t>
            </w:r>
            <w:r w:rsidRPr="00631381">
              <w:rPr>
                <w:rFonts w:ascii="Times New Roman" w:hAnsi="Times New Roman"/>
                <w:szCs w:val="24"/>
                <w:lang w:val="en-US"/>
              </w:rPr>
              <w:t>the requirements of regulatory enactments</w:t>
            </w:r>
            <w:r w:rsidRPr="0011537E">
              <w:rPr>
                <w:rFonts w:ascii="Times New Roman" w:hAnsi="Times New Roman"/>
                <w:szCs w:val="24"/>
                <w:lang w:val="en"/>
              </w:rPr>
              <w:t xml:space="preserve"> </w:t>
            </w:r>
            <w:r w:rsidRPr="00631381">
              <w:rPr>
                <w:rFonts w:ascii="Times New Roman" w:hAnsi="Times New Roman"/>
                <w:szCs w:val="24"/>
                <w:lang w:val="en"/>
              </w:rPr>
              <w:t xml:space="preserve">that the </w:t>
            </w:r>
            <w:r w:rsidRPr="0011537E">
              <w:rPr>
                <w:rFonts w:ascii="Times New Roman" w:hAnsi="Times New Roman"/>
                <w:szCs w:val="24"/>
                <w:lang w:val="en"/>
              </w:rPr>
              <w:t xml:space="preserve">deadline for submission of annual reports has not yet </w:t>
            </w:r>
            <w:r w:rsidRPr="00631381">
              <w:rPr>
                <w:rFonts w:ascii="Times New Roman" w:hAnsi="Times New Roman"/>
                <w:szCs w:val="24"/>
                <w:lang w:val="en"/>
              </w:rPr>
              <w:t>entered</w:t>
            </w:r>
            <w:r w:rsidRPr="0011537E">
              <w:rPr>
                <w:rFonts w:ascii="Times New Roman" w:hAnsi="Times New Roman"/>
                <w:szCs w:val="24"/>
                <w:lang w:val="en"/>
              </w:rPr>
              <w:t xml:space="preserve">, according </w:t>
            </w:r>
            <w:r w:rsidRPr="00631381">
              <w:rPr>
                <w:rFonts w:ascii="Times New Roman" w:hAnsi="Times New Roman"/>
                <w:szCs w:val="24"/>
                <w:lang w:val="en"/>
              </w:rPr>
              <w:t>to the requirement of Clause 3.3</w:t>
            </w:r>
            <w:r w:rsidRPr="0011537E">
              <w:rPr>
                <w:rFonts w:ascii="Times New Roman" w:hAnsi="Times New Roman"/>
                <w:szCs w:val="24"/>
                <w:lang w:val="en"/>
              </w:rPr>
              <w:t xml:space="preserve"> of the Regulations</w:t>
            </w:r>
            <w:r w:rsidRPr="00631381">
              <w:rPr>
                <w:rFonts w:ascii="Times New Roman" w:hAnsi="Times New Roman"/>
                <w:szCs w:val="24"/>
                <w:lang w:val="en"/>
              </w:rPr>
              <w:t xml:space="preserve"> of </w:t>
            </w:r>
            <w:r w:rsidRPr="0011537E">
              <w:rPr>
                <w:rFonts w:ascii="Times New Roman" w:hAnsi="Times New Roman"/>
                <w:szCs w:val="24"/>
                <w:lang w:val="en"/>
              </w:rPr>
              <w:t>Negotiated Procedure</w:t>
            </w:r>
            <w:r w:rsidRPr="00631381">
              <w:rPr>
                <w:rFonts w:ascii="Times New Roman" w:hAnsi="Times New Roman"/>
                <w:szCs w:val="24"/>
                <w:lang w:val="en"/>
              </w:rPr>
              <w:t xml:space="preserve"> </w:t>
            </w:r>
            <w:r w:rsidRPr="0011537E">
              <w:rPr>
                <w:rFonts w:ascii="Times New Roman" w:hAnsi="Times New Roman"/>
                <w:szCs w:val="24"/>
                <w:lang w:val="en"/>
              </w:rPr>
              <w:t>the candidate must submit</w:t>
            </w:r>
            <w:r w:rsidRPr="007D5EF2">
              <w:rPr>
                <w:rFonts w:ascii="Times New Roman" w:hAnsi="Times New Roman"/>
                <w:szCs w:val="24"/>
                <w:lang w:val="en"/>
              </w:rPr>
              <w:t xml:space="preserve"> certified statements of the profit and loss account for the previous 3 (three) financial years (2017, 2016 and 2015).</w:t>
            </w:r>
          </w:p>
        </w:tc>
        <w:tc>
          <w:tcPr>
            <w:tcW w:w="4503" w:type="dxa"/>
          </w:tcPr>
          <w:p w14:paraId="7D2451C7" w14:textId="77777777" w:rsidR="00831977" w:rsidRPr="00AF039F" w:rsidRDefault="00831977" w:rsidP="00C60F53">
            <w:pPr>
              <w:widowControl w:val="0"/>
              <w:ind w:right="103"/>
              <w:jc w:val="both"/>
              <w:rPr>
                <w:rFonts w:ascii="Times New Roman" w:hAnsi="Times New Roman"/>
                <w:b/>
                <w:szCs w:val="24"/>
              </w:rPr>
            </w:pPr>
            <w:r w:rsidRPr="00AF039F">
              <w:rPr>
                <w:rFonts w:ascii="Times New Roman" w:hAnsi="Times New Roman"/>
                <w:b/>
                <w:szCs w:val="24"/>
              </w:rPr>
              <w:t>Atbilde:</w:t>
            </w:r>
          </w:p>
          <w:p w14:paraId="75623C45" w14:textId="77777777" w:rsidR="00831977" w:rsidRPr="000A6E64" w:rsidRDefault="00831977" w:rsidP="00C60F53">
            <w:pPr>
              <w:widowControl w:val="0"/>
              <w:ind w:right="103"/>
              <w:jc w:val="both"/>
              <w:rPr>
                <w:rFonts w:ascii="Times New Roman" w:hAnsi="Times New Roman"/>
                <w:color w:val="FF0000"/>
                <w:szCs w:val="24"/>
              </w:rPr>
            </w:pPr>
            <w:r w:rsidRPr="0011537E">
              <w:rPr>
                <w:rFonts w:ascii="Times New Roman" w:eastAsia="Calibri" w:hAnsi="Times New Roman"/>
                <w:szCs w:val="24"/>
                <w:lang w:eastAsia="en-US"/>
              </w:rPr>
              <w:t>Lai nodrošinātu vienlīdzīgu un taisnīgu attieksmi pret visiem piegādātājiem un, ņemot vērā normatīvajos aktos noteikto, ka gada pārskatu iesniegšanas termiņš</w:t>
            </w:r>
            <w:r w:rsidRPr="0011537E">
              <w:rPr>
                <w:rFonts w:ascii="Times New Roman" w:hAnsi="Times New Roman"/>
                <w:szCs w:val="24"/>
              </w:rPr>
              <w:t xml:space="preserve"> vēl nav iestājies, saskaņā ar sarunu procedūras nolikuma 3.3. punkta prasību kandidātam jāiesniedz iepriekšējo 3 (trīs) finanšu gadu (2017., 2016. un 2015.gada) pārskatu apliecināti izraksti, kas sastāv no peļņas un zaudējumu aprēķina.</w:t>
            </w:r>
          </w:p>
        </w:tc>
      </w:tr>
    </w:tbl>
    <w:p w14:paraId="4629D5C4" w14:textId="77777777" w:rsidR="0051753D" w:rsidRDefault="0051753D" w:rsidP="004E2536">
      <w:pPr>
        <w:pStyle w:val="Header"/>
        <w:tabs>
          <w:tab w:val="clear" w:pos="4320"/>
          <w:tab w:val="clear" w:pos="8640"/>
          <w:tab w:val="left" w:pos="561"/>
          <w:tab w:val="center" w:pos="7854"/>
          <w:tab w:val="right" w:pos="9000"/>
        </w:tabs>
        <w:rPr>
          <w:rFonts w:ascii="Times New Roman" w:hAnsi="Times New Roman"/>
          <w:szCs w:val="24"/>
        </w:rPr>
      </w:pPr>
    </w:p>
    <w:p w14:paraId="7648E50B" w14:textId="77777777" w:rsidR="0051753D" w:rsidRDefault="0051753D" w:rsidP="0051753D">
      <w:pPr>
        <w:jc w:val="both"/>
        <w:rPr>
          <w:rFonts w:ascii="Times New Roman" w:hAnsi="Times New Roman"/>
          <w:szCs w:val="24"/>
        </w:rPr>
      </w:pPr>
    </w:p>
    <w:p w14:paraId="27AB6B87" w14:textId="77777777" w:rsidR="0051753D" w:rsidRPr="00831977" w:rsidRDefault="0051753D" w:rsidP="0051753D">
      <w:pPr>
        <w:jc w:val="both"/>
        <w:rPr>
          <w:rFonts w:ascii="Times New Roman" w:hAnsi="Times New Roman"/>
          <w:szCs w:val="24"/>
          <w:lang w:val="en-US"/>
        </w:rPr>
      </w:pPr>
      <w:r w:rsidRPr="00290BC4">
        <w:rPr>
          <w:rFonts w:ascii="Times New Roman" w:hAnsi="Times New Roman"/>
          <w:szCs w:val="24"/>
        </w:rPr>
        <w:t xml:space="preserve">Iepirkuma komisijas sniegtās atbildes un skaidrojumi ir neatņemama sarunu procedūras noteikumu sastāvdaļa. </w:t>
      </w:r>
      <w:r w:rsidRPr="00831977">
        <w:rPr>
          <w:rFonts w:ascii="Times New Roman" w:hAnsi="Times New Roman"/>
          <w:szCs w:val="24"/>
          <w:lang w:val="en-US"/>
        </w:rPr>
        <w:t xml:space="preserve">The answers and adjustments prepared by the Procurement Committee are integral components of the Negotiated Procedure requirements. </w:t>
      </w:r>
    </w:p>
    <w:p w14:paraId="4DFA8B5B" w14:textId="77777777" w:rsidR="0051753D" w:rsidRDefault="0051753D" w:rsidP="004E2536">
      <w:pPr>
        <w:pStyle w:val="Header"/>
        <w:tabs>
          <w:tab w:val="clear" w:pos="4320"/>
          <w:tab w:val="clear" w:pos="8640"/>
          <w:tab w:val="left" w:pos="561"/>
          <w:tab w:val="center" w:pos="7854"/>
          <w:tab w:val="right" w:pos="9000"/>
        </w:tabs>
        <w:rPr>
          <w:rFonts w:ascii="Times New Roman" w:hAnsi="Times New Roman"/>
          <w:szCs w:val="24"/>
        </w:rPr>
      </w:pPr>
      <w:bookmarkStart w:id="0" w:name="_GoBack"/>
      <w:bookmarkEnd w:id="0"/>
    </w:p>
    <w:sectPr w:rsidR="0051753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0374"/>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1753D"/>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08DC"/>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4E1E"/>
    <w:rsid w:val="006A5BCB"/>
    <w:rsid w:val="006A63A5"/>
    <w:rsid w:val="006B35A3"/>
    <w:rsid w:val="006B3ACE"/>
    <w:rsid w:val="006B6A59"/>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31977"/>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4C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42B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33E2"/>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354DA"/>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 w:type="paragraph" w:styleId="HTMLPreformatted">
    <w:name w:val="HTML Preformatted"/>
    <w:basedOn w:val="Normal"/>
    <w:link w:val="HTMLPreformattedChar"/>
    <w:unhideWhenUsed/>
    <w:rsid w:val="00C133E2"/>
    <w:rPr>
      <w:rFonts w:ascii="Consolas" w:hAnsi="Consolas" w:cs="Consolas"/>
      <w:sz w:val="20"/>
    </w:rPr>
  </w:style>
  <w:style w:type="character" w:customStyle="1" w:styleId="HTMLPreformattedChar">
    <w:name w:val="HTML Preformatted Char"/>
    <w:basedOn w:val="DefaultParagraphFont"/>
    <w:link w:val="HTMLPreformatted"/>
    <w:rsid w:val="00C133E2"/>
    <w:rPr>
      <w:rFonts w:ascii="Consolas" w:hAnsi="Consolas" w:cs="Consolas"/>
    </w:rPr>
  </w:style>
  <w:style w:type="character" w:customStyle="1" w:styleId="tlid-translation">
    <w:name w:val="tlid-translation"/>
    <w:basedOn w:val="DefaultParagraphFont"/>
    <w:rsid w:val="0046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3C83-3F60-404B-85BC-BEEFE034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Pages>
  <Words>9390</Words>
  <Characters>5353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14714</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106</cp:revision>
  <cp:lastPrinted>2018-11-16T07:05:00Z</cp:lastPrinted>
  <dcterms:created xsi:type="dcterms:W3CDTF">2018-04-04T11:37:00Z</dcterms:created>
  <dcterms:modified xsi:type="dcterms:W3CDTF">2019-03-13T09:28:00Z</dcterms:modified>
</cp:coreProperties>
</file>