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CE3AE" w14:textId="703F7C88" w:rsidR="00114E13" w:rsidRDefault="00315F84" w:rsidP="00FF4B0C">
      <w:pPr>
        <w:ind w:right="55"/>
        <w:jc w:val="center"/>
        <w:rPr>
          <w:rFonts w:ascii="Times New Roman" w:hAnsi="Times New Roman"/>
          <w:b/>
          <w:bCs/>
          <w:szCs w:val="24"/>
        </w:rPr>
      </w:pPr>
      <w:r>
        <w:rPr>
          <w:rFonts w:ascii="Times New Roman" w:hAnsi="Times New Roman"/>
          <w:b/>
          <w:bCs/>
          <w:szCs w:val="24"/>
        </w:rPr>
        <w:t>Iepirkuma komisijas 25</w:t>
      </w:r>
      <w:r w:rsidR="006B6A59">
        <w:rPr>
          <w:rFonts w:ascii="Times New Roman" w:hAnsi="Times New Roman"/>
          <w:b/>
          <w:bCs/>
          <w:szCs w:val="24"/>
        </w:rPr>
        <w:t>.03</w:t>
      </w:r>
      <w:r w:rsidR="00460374">
        <w:rPr>
          <w:rFonts w:ascii="Times New Roman" w:hAnsi="Times New Roman"/>
          <w:b/>
          <w:bCs/>
          <w:szCs w:val="24"/>
        </w:rPr>
        <w:t>.2019</w:t>
      </w:r>
      <w:r w:rsidR="00114E13">
        <w:rPr>
          <w:rFonts w:ascii="Times New Roman" w:hAnsi="Times New Roman"/>
          <w:b/>
          <w:bCs/>
          <w:szCs w:val="24"/>
        </w:rPr>
        <w:t>. sēdē sniegtā</w:t>
      </w:r>
      <w:r w:rsidR="0051753D">
        <w:rPr>
          <w:rFonts w:ascii="Times New Roman" w:hAnsi="Times New Roman"/>
          <w:b/>
          <w:bCs/>
          <w:szCs w:val="24"/>
        </w:rPr>
        <w:t>s</w:t>
      </w:r>
      <w:r w:rsidR="00114E13">
        <w:rPr>
          <w:rFonts w:ascii="Times New Roman" w:hAnsi="Times New Roman"/>
          <w:b/>
          <w:bCs/>
          <w:szCs w:val="24"/>
        </w:rPr>
        <w:t xml:space="preserve"> atbilde</w:t>
      </w:r>
      <w:r w:rsidR="0051753D">
        <w:rPr>
          <w:rFonts w:ascii="Times New Roman" w:hAnsi="Times New Roman"/>
          <w:b/>
          <w:bCs/>
          <w:szCs w:val="24"/>
        </w:rPr>
        <w:t>s</w:t>
      </w:r>
      <w:r w:rsidR="00114E13">
        <w:rPr>
          <w:rFonts w:ascii="Times New Roman" w:hAnsi="Times New Roman"/>
          <w:b/>
          <w:bCs/>
          <w:szCs w:val="24"/>
        </w:rPr>
        <w:t xml:space="preserve"> uz </w:t>
      </w:r>
      <w:r w:rsidR="00460374">
        <w:rPr>
          <w:rFonts w:ascii="Times New Roman" w:hAnsi="Times New Roman"/>
          <w:b/>
          <w:bCs/>
          <w:szCs w:val="24"/>
        </w:rPr>
        <w:t>i</w:t>
      </w:r>
      <w:r w:rsidR="0051753D">
        <w:rPr>
          <w:rFonts w:ascii="Times New Roman" w:hAnsi="Times New Roman"/>
          <w:b/>
          <w:bCs/>
          <w:szCs w:val="24"/>
        </w:rPr>
        <w:t>einteresēto piegādātāju uzdotiem jautājumiem</w:t>
      </w:r>
      <w:r w:rsidR="00114E13">
        <w:rPr>
          <w:rFonts w:ascii="Times New Roman" w:hAnsi="Times New Roman"/>
          <w:b/>
          <w:bCs/>
          <w:szCs w:val="24"/>
        </w:rPr>
        <w:t xml:space="preserve"> par sarunu procedūras</w:t>
      </w:r>
    </w:p>
    <w:p w14:paraId="74C5C567" w14:textId="77777777" w:rsidR="009114C1" w:rsidRDefault="00FF4B0C" w:rsidP="00267DC9">
      <w:pPr>
        <w:tabs>
          <w:tab w:val="left" w:pos="8280"/>
        </w:tabs>
        <w:ind w:left="540" w:right="70"/>
        <w:jc w:val="center"/>
        <w:rPr>
          <w:rFonts w:ascii="Times New Roman" w:hAnsi="Times New Roman"/>
          <w:b/>
          <w:szCs w:val="24"/>
        </w:rPr>
      </w:pPr>
      <w:r w:rsidRPr="00674F06">
        <w:rPr>
          <w:rFonts w:ascii="Times New Roman" w:hAnsi="Times New Roman"/>
          <w:b/>
          <w:szCs w:val="24"/>
        </w:rPr>
        <w:t>„</w:t>
      </w:r>
      <w:r w:rsidR="009114C1" w:rsidRPr="009114C1">
        <w:rPr>
          <w:b/>
          <w:szCs w:val="24"/>
        </w:rPr>
        <w:t>Modulārā kaujas bruņu/ uzkabes veste</w:t>
      </w:r>
      <w:r w:rsidR="00267DC9" w:rsidRPr="00674F06">
        <w:rPr>
          <w:rFonts w:ascii="Times New Roman" w:hAnsi="Times New Roman"/>
          <w:b/>
          <w:szCs w:val="24"/>
        </w:rPr>
        <w:t>”</w:t>
      </w:r>
    </w:p>
    <w:p w14:paraId="5E903A11" w14:textId="35192053" w:rsidR="00A042B3" w:rsidRDefault="00114E13" w:rsidP="00267DC9">
      <w:pPr>
        <w:tabs>
          <w:tab w:val="left" w:pos="8280"/>
        </w:tabs>
        <w:ind w:left="540" w:right="70"/>
        <w:jc w:val="center"/>
        <w:rPr>
          <w:rFonts w:ascii="Times New Roman" w:hAnsi="Times New Roman"/>
          <w:b/>
          <w:bCs/>
          <w:szCs w:val="24"/>
        </w:rPr>
      </w:pPr>
      <w:r>
        <w:rPr>
          <w:rFonts w:ascii="Times New Roman" w:hAnsi="Times New Roman"/>
          <w:b/>
          <w:bCs/>
          <w:szCs w:val="24"/>
        </w:rPr>
        <w:t xml:space="preserve"> </w:t>
      </w:r>
      <w:r w:rsidR="00FF4B0C" w:rsidRPr="00F43DE2">
        <w:rPr>
          <w:rFonts w:ascii="Times New Roman" w:hAnsi="Times New Roman"/>
          <w:b/>
          <w:bCs/>
          <w:szCs w:val="24"/>
        </w:rPr>
        <w:t>identifikācijas Nr. VAMOIC 201</w:t>
      </w:r>
      <w:r w:rsidR="00E354DA">
        <w:rPr>
          <w:rFonts w:ascii="Times New Roman" w:hAnsi="Times New Roman"/>
          <w:b/>
          <w:bCs/>
          <w:szCs w:val="24"/>
        </w:rPr>
        <w:t>8/024</w:t>
      </w:r>
      <w:r>
        <w:rPr>
          <w:rFonts w:ascii="Times New Roman" w:hAnsi="Times New Roman"/>
          <w:b/>
          <w:bCs/>
          <w:szCs w:val="24"/>
        </w:rPr>
        <w:t xml:space="preserve"> nolikuma prasībām</w:t>
      </w:r>
    </w:p>
    <w:p w14:paraId="5EA7FB03" w14:textId="77777777" w:rsidR="009114C1" w:rsidRDefault="009114C1" w:rsidP="00267DC9">
      <w:pPr>
        <w:tabs>
          <w:tab w:val="left" w:pos="8280"/>
        </w:tabs>
        <w:ind w:left="540" w:right="70"/>
        <w:jc w:val="center"/>
        <w:rPr>
          <w:rFonts w:ascii="Times New Roman" w:hAnsi="Times New Roman"/>
          <w:b/>
          <w:bCs/>
          <w:szCs w:val="24"/>
        </w:rPr>
      </w:pPr>
    </w:p>
    <w:p w14:paraId="07F3CE3B" w14:textId="5AE3D54D" w:rsidR="00FF4B0C" w:rsidRPr="00F43DE2" w:rsidRDefault="00FF4B0C" w:rsidP="00A042B3">
      <w:pPr>
        <w:tabs>
          <w:tab w:val="left" w:pos="8280"/>
        </w:tabs>
        <w:ind w:right="70"/>
        <w:rPr>
          <w:rFonts w:ascii="Times New Roman" w:hAnsi="Times New Roman"/>
          <w:b/>
          <w:szCs w:val="24"/>
        </w:rPr>
      </w:pPr>
    </w:p>
    <w:tbl>
      <w:tblPr>
        <w:tblStyle w:val="TableGrid"/>
        <w:tblW w:w="9640" w:type="dxa"/>
        <w:tblInd w:w="-431" w:type="dxa"/>
        <w:tblLayout w:type="fixed"/>
        <w:tblLook w:val="04A0" w:firstRow="1" w:lastRow="0" w:firstColumn="1" w:lastColumn="0" w:noHBand="0" w:noVBand="1"/>
      </w:tblPr>
      <w:tblGrid>
        <w:gridCol w:w="4821"/>
        <w:gridCol w:w="4819"/>
      </w:tblGrid>
      <w:tr w:rsidR="00315F84" w:rsidRPr="00AF039F" w14:paraId="0CE415E5" w14:textId="77777777" w:rsidTr="00DD18E4">
        <w:tc>
          <w:tcPr>
            <w:tcW w:w="4821" w:type="dxa"/>
          </w:tcPr>
          <w:p w14:paraId="56B7D1D3" w14:textId="77777777" w:rsidR="00315F84" w:rsidRDefault="00315F84" w:rsidP="00DD18E4">
            <w:pPr>
              <w:jc w:val="both"/>
              <w:rPr>
                <w:rFonts w:ascii="Times New Roman" w:hAnsi="Times New Roman"/>
                <w:b/>
                <w:szCs w:val="24"/>
                <w:lang w:val="en-US"/>
              </w:rPr>
            </w:pPr>
            <w:r w:rsidRPr="00AF039F">
              <w:rPr>
                <w:rFonts w:ascii="Times New Roman" w:hAnsi="Times New Roman"/>
                <w:b/>
                <w:szCs w:val="24"/>
                <w:lang w:val="en-US"/>
              </w:rPr>
              <w:t>Question No.1:</w:t>
            </w:r>
          </w:p>
          <w:p w14:paraId="64F96DE2" w14:textId="77777777" w:rsidR="00315F84" w:rsidRDefault="00315F84" w:rsidP="00DD18E4">
            <w:pPr>
              <w:jc w:val="both"/>
              <w:rPr>
                <w:rFonts w:ascii="Times New Roman" w:hAnsi="Times New Roman"/>
                <w:lang w:val="et-EE"/>
              </w:rPr>
            </w:pPr>
            <w:r w:rsidRPr="00B34F0E">
              <w:rPr>
                <w:rFonts w:ascii="Times New Roman" w:hAnsi="Times New Roman"/>
                <w:lang w:val="et-EE"/>
              </w:rPr>
              <w:t>Please remove requirement of equipment and staff as it is impossible that contracting authority can define equipment to be used or number of staff (as well education) or manufacturing setup. Requirements defined by contracting authority will not guarantee capabilities or quality and there for are irrelevant. Instead we reccomend to focus on past experience e.g. contracts fulfilled in similar category, ISO certification, insurance and other certificates</w:t>
            </w:r>
            <w:r>
              <w:rPr>
                <w:rFonts w:ascii="Times New Roman" w:hAnsi="Times New Roman"/>
                <w:lang w:val="et-EE"/>
              </w:rPr>
              <w:t xml:space="preserve">. </w:t>
            </w:r>
          </w:p>
          <w:p w14:paraId="4FF955F6" w14:textId="77777777" w:rsidR="00315F84" w:rsidRPr="00B34F0E" w:rsidRDefault="00315F84" w:rsidP="00DD18E4">
            <w:pPr>
              <w:jc w:val="both"/>
              <w:rPr>
                <w:rFonts w:ascii="Times New Roman" w:hAnsi="Times New Roman"/>
                <w:lang w:val="et-EE"/>
              </w:rPr>
            </w:pPr>
          </w:p>
        </w:tc>
        <w:tc>
          <w:tcPr>
            <w:tcW w:w="4819" w:type="dxa"/>
          </w:tcPr>
          <w:p w14:paraId="2B63968F" w14:textId="77777777" w:rsidR="00315F84" w:rsidRPr="00AF039F" w:rsidRDefault="00315F84" w:rsidP="00DD18E4">
            <w:pPr>
              <w:jc w:val="both"/>
              <w:rPr>
                <w:rFonts w:ascii="Times New Roman" w:hAnsi="Times New Roman"/>
                <w:b/>
                <w:szCs w:val="24"/>
              </w:rPr>
            </w:pPr>
            <w:r w:rsidRPr="00AF039F">
              <w:rPr>
                <w:rFonts w:ascii="Times New Roman" w:hAnsi="Times New Roman"/>
                <w:b/>
                <w:szCs w:val="24"/>
              </w:rPr>
              <w:t>Jautājums Nr.1:</w:t>
            </w:r>
          </w:p>
          <w:p w14:paraId="2693BDC6" w14:textId="77777777" w:rsidR="00315F84" w:rsidRPr="00AE6B95" w:rsidRDefault="00315F84" w:rsidP="00DD1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r w:rsidRPr="00196960">
              <w:rPr>
                <w:rFonts w:ascii="Times New Roman" w:hAnsi="Times New Roman"/>
                <w:szCs w:val="24"/>
              </w:rPr>
              <w:t xml:space="preserve">Lūdzu </w:t>
            </w:r>
            <w:r>
              <w:rPr>
                <w:rFonts w:ascii="Times New Roman" w:hAnsi="Times New Roman"/>
                <w:szCs w:val="24"/>
              </w:rPr>
              <w:t>svītrot prasību par aprīkojumu un personālu</w:t>
            </w:r>
            <w:r w:rsidRPr="00196960">
              <w:rPr>
                <w:rFonts w:ascii="Times New Roman" w:hAnsi="Times New Roman"/>
                <w:szCs w:val="24"/>
              </w:rPr>
              <w:t xml:space="preserve">, jo </w:t>
            </w:r>
            <w:r>
              <w:rPr>
                <w:rFonts w:ascii="Times New Roman" w:hAnsi="Times New Roman"/>
                <w:szCs w:val="24"/>
              </w:rPr>
              <w:t xml:space="preserve">tas </w:t>
            </w:r>
            <w:r w:rsidRPr="00196960">
              <w:rPr>
                <w:rFonts w:ascii="Times New Roman" w:hAnsi="Times New Roman"/>
                <w:szCs w:val="24"/>
              </w:rPr>
              <w:t xml:space="preserve">nav iespējams, ka </w:t>
            </w:r>
            <w:r>
              <w:rPr>
                <w:rFonts w:ascii="Times New Roman" w:hAnsi="Times New Roman"/>
                <w:szCs w:val="24"/>
              </w:rPr>
              <w:t>pasūtītājs</w:t>
            </w:r>
            <w:r w:rsidRPr="00196960">
              <w:rPr>
                <w:rFonts w:ascii="Times New Roman" w:hAnsi="Times New Roman"/>
                <w:szCs w:val="24"/>
              </w:rPr>
              <w:t xml:space="preserve"> var noteikt izmantojamo aprīkojumu vai darbinieku skaitu (kā arī izglītību) vai ražošanas </w:t>
            </w:r>
            <w:r>
              <w:rPr>
                <w:rFonts w:ascii="Times New Roman" w:hAnsi="Times New Roman"/>
                <w:szCs w:val="24"/>
              </w:rPr>
              <w:t>procesu</w:t>
            </w:r>
            <w:r w:rsidRPr="00196960">
              <w:rPr>
                <w:rFonts w:ascii="Times New Roman" w:hAnsi="Times New Roman"/>
                <w:szCs w:val="24"/>
              </w:rPr>
              <w:t xml:space="preserve">. </w:t>
            </w:r>
            <w:r>
              <w:rPr>
                <w:rFonts w:ascii="Times New Roman" w:hAnsi="Times New Roman"/>
                <w:szCs w:val="24"/>
              </w:rPr>
              <w:t>Pasūtītāja</w:t>
            </w:r>
            <w:r w:rsidRPr="00196960">
              <w:rPr>
                <w:rFonts w:ascii="Times New Roman" w:hAnsi="Times New Roman"/>
                <w:szCs w:val="24"/>
              </w:rPr>
              <w:t xml:space="preserve"> noteiktās prasības negara</w:t>
            </w:r>
            <w:r>
              <w:rPr>
                <w:rFonts w:ascii="Times New Roman" w:hAnsi="Times New Roman"/>
                <w:szCs w:val="24"/>
              </w:rPr>
              <w:t>ntē spējas vai kvalitāti, un tam</w:t>
            </w:r>
            <w:r w:rsidRPr="00196960">
              <w:rPr>
                <w:rFonts w:ascii="Times New Roman" w:hAnsi="Times New Roman"/>
                <w:szCs w:val="24"/>
              </w:rPr>
              <w:t xml:space="preserve"> nav nozīmes. Tā vietā mēs iesakām koncentrēties uz iepriekšējo pieredzi, piemēram, līgumi, kas izpildīti līdzīgā kategorijā, ISO sertifikācija, apdrošināšana un citi sertifikāti.</w:t>
            </w:r>
          </w:p>
        </w:tc>
      </w:tr>
      <w:tr w:rsidR="00315F84" w:rsidRPr="00AF039F" w14:paraId="7D8B7633" w14:textId="77777777" w:rsidTr="00DD18E4">
        <w:trPr>
          <w:trHeight w:val="904"/>
        </w:trPr>
        <w:tc>
          <w:tcPr>
            <w:tcW w:w="4821" w:type="dxa"/>
          </w:tcPr>
          <w:p w14:paraId="2528B82D" w14:textId="77777777" w:rsidR="00315F84" w:rsidRDefault="00315F84" w:rsidP="00DD18E4">
            <w:pPr>
              <w:jc w:val="both"/>
              <w:rPr>
                <w:rFonts w:ascii="Times New Roman" w:hAnsi="Times New Roman"/>
                <w:b/>
                <w:szCs w:val="24"/>
                <w:lang w:val="en-US"/>
              </w:rPr>
            </w:pPr>
            <w:r w:rsidRPr="00AF039F">
              <w:rPr>
                <w:rFonts w:ascii="Times New Roman" w:hAnsi="Times New Roman"/>
                <w:b/>
                <w:szCs w:val="24"/>
                <w:lang w:val="en-US"/>
              </w:rPr>
              <w:t>Answer:</w:t>
            </w:r>
          </w:p>
          <w:p w14:paraId="262E62DA" w14:textId="77777777" w:rsidR="00315F84" w:rsidRDefault="00315F84" w:rsidP="00DD1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val="en"/>
              </w:rPr>
            </w:pPr>
            <w:r>
              <w:rPr>
                <w:rFonts w:ascii="Times New Roman" w:hAnsi="Times New Roman"/>
                <w:szCs w:val="24"/>
                <w:lang w:val="en"/>
              </w:rPr>
              <w:t>The Procurement Committee</w:t>
            </w:r>
            <w:r w:rsidRPr="002A4B11">
              <w:rPr>
                <w:rFonts w:ascii="Times New Roman" w:hAnsi="Times New Roman"/>
                <w:szCs w:val="24"/>
                <w:lang w:val="en"/>
              </w:rPr>
              <w:t xml:space="preserve">, in </w:t>
            </w:r>
            <w:r>
              <w:rPr>
                <w:rFonts w:ascii="Times New Roman" w:hAnsi="Times New Roman"/>
                <w:szCs w:val="24"/>
                <w:lang w:val="en"/>
              </w:rPr>
              <w:t>developing</w:t>
            </w:r>
            <w:r w:rsidRPr="002A4B11">
              <w:rPr>
                <w:rFonts w:ascii="Times New Roman" w:hAnsi="Times New Roman"/>
                <w:szCs w:val="24"/>
                <w:lang w:val="en"/>
              </w:rPr>
              <w:t xml:space="preserve"> the requirements set out in the Regulatio</w:t>
            </w:r>
            <w:r>
              <w:rPr>
                <w:rFonts w:ascii="Times New Roman" w:hAnsi="Times New Roman"/>
                <w:szCs w:val="24"/>
                <w:lang w:val="en"/>
              </w:rPr>
              <w:t>ns, to ascertain the Candidates</w:t>
            </w:r>
            <w:r w:rsidRPr="002A4B11">
              <w:rPr>
                <w:rFonts w:ascii="Times New Roman" w:hAnsi="Times New Roman"/>
                <w:szCs w:val="24"/>
                <w:lang w:val="en"/>
              </w:rPr>
              <w:t xml:space="preserve"> ability to fulfill the obligations of the framework agreement, </w:t>
            </w:r>
            <w:r>
              <w:rPr>
                <w:rFonts w:ascii="Times New Roman" w:hAnsi="Times New Roman"/>
                <w:szCs w:val="24"/>
                <w:lang w:val="en"/>
              </w:rPr>
              <w:t xml:space="preserve">in cooperation with the contracting authority </w:t>
            </w:r>
            <w:r w:rsidRPr="002A4B11">
              <w:rPr>
                <w:rFonts w:ascii="Times New Roman" w:hAnsi="Times New Roman"/>
                <w:szCs w:val="24"/>
                <w:lang w:val="en"/>
              </w:rPr>
              <w:t>carefully assessed all t</w:t>
            </w:r>
            <w:r>
              <w:rPr>
                <w:rFonts w:ascii="Times New Roman" w:hAnsi="Times New Roman"/>
                <w:szCs w:val="24"/>
                <w:lang w:val="en"/>
              </w:rPr>
              <w:t>he terms and conditions of the N</w:t>
            </w:r>
            <w:r w:rsidRPr="002A4B11">
              <w:rPr>
                <w:rFonts w:ascii="Times New Roman" w:hAnsi="Times New Roman"/>
                <w:szCs w:val="24"/>
                <w:lang w:val="en"/>
              </w:rPr>
              <w:t xml:space="preserve">egotiated procedure, the risks and the applicable qualification requirements, taking into account the importance of each requirement to the contracting authority and the planned </w:t>
            </w:r>
            <w:r w:rsidRPr="0039478C">
              <w:rPr>
                <w:rFonts w:ascii="Times New Roman" w:hAnsi="Times New Roman"/>
                <w:szCs w:val="24"/>
                <w:lang w:val="en"/>
              </w:rPr>
              <w:t xml:space="preserve">amount of orders, </w:t>
            </w:r>
            <w:r>
              <w:rPr>
                <w:rFonts w:ascii="Times New Roman" w:hAnsi="Times New Roman"/>
                <w:szCs w:val="24"/>
                <w:lang w:val="en"/>
              </w:rPr>
              <w:t xml:space="preserve">as </w:t>
            </w:r>
            <w:r w:rsidRPr="005B6DC8">
              <w:rPr>
                <w:rFonts w:ascii="Times New Roman" w:hAnsi="Times New Roman"/>
                <w:szCs w:val="24"/>
                <w:lang w:val="en"/>
              </w:rPr>
              <w:t xml:space="preserve">well according to Clause 15 of the Law </w:t>
            </w:r>
            <w:r w:rsidRPr="005B6DC8">
              <w:rPr>
                <w:rFonts w:ascii="Times New Roman" w:hAnsi="Times New Roman"/>
                <w:szCs w:val="24"/>
                <w:lang w:val="en-US"/>
              </w:rPr>
              <w:t>on Public Procurement in the Fields of Defence and Security of the Republic of Latvia.</w:t>
            </w:r>
            <w:r w:rsidRPr="005B6DC8">
              <w:rPr>
                <w:rFonts w:ascii="Times New Roman" w:hAnsi="Times New Roman"/>
                <w:szCs w:val="24"/>
                <w:lang w:val="en"/>
              </w:rPr>
              <w:t xml:space="preserve"> Amendments in the Regulations of the Negotiated procedure will not be made.</w:t>
            </w:r>
          </w:p>
          <w:p w14:paraId="5C930A21" w14:textId="77777777" w:rsidR="00315F84" w:rsidRPr="0039478C" w:rsidRDefault="00315F84" w:rsidP="00DD1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val="en"/>
              </w:rPr>
            </w:pPr>
          </w:p>
        </w:tc>
        <w:tc>
          <w:tcPr>
            <w:tcW w:w="4819" w:type="dxa"/>
          </w:tcPr>
          <w:p w14:paraId="0FF87207" w14:textId="77777777" w:rsidR="00315F84" w:rsidRPr="00AF039F" w:rsidRDefault="00315F84" w:rsidP="00DD18E4">
            <w:pPr>
              <w:widowControl w:val="0"/>
              <w:ind w:right="103"/>
              <w:jc w:val="both"/>
              <w:rPr>
                <w:rFonts w:ascii="Times New Roman" w:hAnsi="Times New Roman"/>
                <w:b/>
                <w:szCs w:val="24"/>
              </w:rPr>
            </w:pPr>
            <w:r w:rsidRPr="00AF039F">
              <w:rPr>
                <w:rFonts w:ascii="Times New Roman" w:hAnsi="Times New Roman"/>
                <w:b/>
                <w:szCs w:val="24"/>
              </w:rPr>
              <w:t>Atbilde:</w:t>
            </w:r>
          </w:p>
          <w:p w14:paraId="493B2872" w14:textId="77777777" w:rsidR="00315F84" w:rsidRPr="002A4B11" w:rsidRDefault="00315F84" w:rsidP="00DD18E4">
            <w:pPr>
              <w:spacing w:after="60"/>
              <w:jc w:val="both"/>
              <w:rPr>
                <w:rFonts w:ascii="Times New Roman" w:hAnsi="Times New Roman"/>
                <w:szCs w:val="24"/>
              </w:rPr>
            </w:pPr>
            <w:r w:rsidRPr="002A4B11">
              <w:rPr>
                <w:rFonts w:ascii="Times New Roman" w:hAnsi="Times New Roman"/>
                <w:szCs w:val="24"/>
              </w:rPr>
              <w:t>Iepirkuma komisija, izstrādājot nolikumā noteiktās prasības, lai pārliecinātos par kandidātu spējām izpildīt vispārīgās vienošanās saistības</w:t>
            </w:r>
            <w:r>
              <w:rPr>
                <w:rFonts w:ascii="Times New Roman" w:hAnsi="Times New Roman"/>
                <w:szCs w:val="24"/>
              </w:rPr>
              <w:t>,</w:t>
            </w:r>
            <w:r w:rsidRPr="002A4B11">
              <w:rPr>
                <w:rFonts w:ascii="Times New Roman" w:hAnsi="Times New Roman"/>
                <w:szCs w:val="24"/>
              </w:rPr>
              <w:t xml:space="preserve"> sadarbībā ar pasūtītājiem rūpīgi izvērtēja visus sarunu procedūras nosacījumus, riskus un piemērojamās kvalifikācijas prasības, ņemot vērā katras prasības nozīmīgumu pasūtītājam un plānotos pasūtījumu apjomus,</w:t>
            </w:r>
            <w:r>
              <w:rPr>
                <w:rFonts w:ascii="Times New Roman" w:hAnsi="Times New Roman"/>
                <w:szCs w:val="24"/>
              </w:rPr>
              <w:t xml:space="preserve"> kā arī saskaņā ar Aizsardzības un drošības jomas iepirkumu likuma 15.panta noteikumiem.  G</w:t>
            </w:r>
            <w:r w:rsidRPr="002A4B11">
              <w:rPr>
                <w:rFonts w:ascii="Times New Roman" w:hAnsi="Times New Roman"/>
                <w:szCs w:val="24"/>
              </w:rPr>
              <w:t>rozījumi sarunu procedūras nolikumā netiks veikti.</w:t>
            </w:r>
            <w:r>
              <w:rPr>
                <w:rFonts w:ascii="Times New Roman" w:hAnsi="Times New Roman"/>
                <w:szCs w:val="24"/>
              </w:rPr>
              <w:t xml:space="preserve"> </w:t>
            </w:r>
          </w:p>
        </w:tc>
      </w:tr>
      <w:tr w:rsidR="00315F84" w:rsidRPr="00AF039F" w14:paraId="44F8FB6F" w14:textId="77777777" w:rsidTr="00DD18E4">
        <w:trPr>
          <w:trHeight w:val="904"/>
        </w:trPr>
        <w:tc>
          <w:tcPr>
            <w:tcW w:w="4821" w:type="dxa"/>
          </w:tcPr>
          <w:p w14:paraId="6A428C18" w14:textId="77777777" w:rsidR="00315F84" w:rsidRPr="00AF039F" w:rsidRDefault="00315F84" w:rsidP="00DD18E4">
            <w:pPr>
              <w:jc w:val="both"/>
              <w:rPr>
                <w:rFonts w:ascii="Times New Roman" w:hAnsi="Times New Roman"/>
                <w:b/>
                <w:szCs w:val="24"/>
                <w:lang w:val="en-US"/>
              </w:rPr>
            </w:pPr>
            <w:r w:rsidRPr="00AF039F">
              <w:rPr>
                <w:rFonts w:ascii="Times New Roman" w:hAnsi="Times New Roman"/>
                <w:b/>
                <w:szCs w:val="24"/>
                <w:lang w:val="en-US"/>
              </w:rPr>
              <w:t>Question No.2:</w:t>
            </w:r>
          </w:p>
          <w:p w14:paraId="16056171" w14:textId="77777777" w:rsidR="00315F84" w:rsidRPr="00B34F0E" w:rsidRDefault="00315F84" w:rsidP="00DD18E4">
            <w:pPr>
              <w:jc w:val="both"/>
              <w:rPr>
                <w:rFonts w:ascii="Times New Roman" w:hAnsi="Times New Roman"/>
                <w:lang w:val="en-US"/>
              </w:rPr>
            </w:pPr>
            <w:r w:rsidRPr="00B34F0E">
              <w:rPr>
                <w:rFonts w:ascii="Times New Roman" w:hAnsi="Times New Roman"/>
                <w:lang w:val="en-US"/>
              </w:rPr>
              <w:t>NATO Stanag 2920 - Do you need the testing reports to this, or will you accept other testing standards such as NIJ?</w:t>
            </w:r>
          </w:p>
        </w:tc>
        <w:tc>
          <w:tcPr>
            <w:tcW w:w="4819" w:type="dxa"/>
          </w:tcPr>
          <w:p w14:paraId="6777F507" w14:textId="77777777" w:rsidR="00315F84" w:rsidRPr="00AF039F" w:rsidRDefault="00315F84" w:rsidP="00DD18E4">
            <w:pPr>
              <w:jc w:val="both"/>
              <w:rPr>
                <w:rFonts w:ascii="Times New Roman" w:hAnsi="Times New Roman"/>
                <w:b/>
                <w:szCs w:val="24"/>
              </w:rPr>
            </w:pPr>
            <w:r w:rsidRPr="00AF039F">
              <w:rPr>
                <w:rFonts w:ascii="Times New Roman" w:hAnsi="Times New Roman"/>
                <w:b/>
                <w:szCs w:val="24"/>
              </w:rPr>
              <w:t>Jautājums Nr.2:</w:t>
            </w:r>
          </w:p>
          <w:p w14:paraId="00000A9A" w14:textId="77777777" w:rsidR="00315F84" w:rsidRDefault="00315F84" w:rsidP="00DD18E4">
            <w:pPr>
              <w:widowControl w:val="0"/>
              <w:ind w:right="103"/>
              <w:jc w:val="both"/>
              <w:rPr>
                <w:rFonts w:ascii="Times New Roman" w:hAnsi="Times New Roman"/>
                <w:szCs w:val="24"/>
              </w:rPr>
            </w:pPr>
            <w:r>
              <w:rPr>
                <w:rFonts w:ascii="Times New Roman" w:hAnsi="Times New Roman"/>
                <w:szCs w:val="24"/>
              </w:rPr>
              <w:t xml:space="preserve">NATO STANAG 2920 – </w:t>
            </w:r>
            <w:r w:rsidRPr="0013276F">
              <w:rPr>
                <w:rFonts w:ascii="Times New Roman" w:hAnsi="Times New Roman"/>
                <w:szCs w:val="24"/>
              </w:rPr>
              <w:t xml:space="preserve">Vai jums ir nepieciešami testēšanas </w:t>
            </w:r>
            <w:r>
              <w:rPr>
                <w:rFonts w:ascii="Times New Roman" w:hAnsi="Times New Roman"/>
                <w:szCs w:val="24"/>
              </w:rPr>
              <w:t>pārskati par šo standartu</w:t>
            </w:r>
            <w:r w:rsidRPr="0013276F">
              <w:rPr>
                <w:rFonts w:ascii="Times New Roman" w:hAnsi="Times New Roman"/>
                <w:szCs w:val="24"/>
              </w:rPr>
              <w:t>, vai arī jūs pieņemsiet citus test</w:t>
            </w:r>
            <w:r>
              <w:rPr>
                <w:rFonts w:ascii="Times New Roman" w:hAnsi="Times New Roman"/>
                <w:szCs w:val="24"/>
              </w:rPr>
              <w:t>ēšanas standartus, piemēram, Nacionālā tieslietu institūta</w:t>
            </w:r>
            <w:r w:rsidRPr="0013276F">
              <w:rPr>
                <w:rFonts w:ascii="Times New Roman" w:hAnsi="Times New Roman"/>
                <w:szCs w:val="24"/>
              </w:rPr>
              <w:t>?</w:t>
            </w:r>
          </w:p>
          <w:p w14:paraId="1CA36F7E" w14:textId="77777777" w:rsidR="00315F84" w:rsidRPr="00AF039F" w:rsidRDefault="00315F84" w:rsidP="00DD18E4">
            <w:pPr>
              <w:widowControl w:val="0"/>
              <w:ind w:right="103"/>
              <w:jc w:val="both"/>
              <w:rPr>
                <w:rFonts w:ascii="Times New Roman" w:hAnsi="Times New Roman"/>
                <w:szCs w:val="24"/>
              </w:rPr>
            </w:pPr>
          </w:p>
        </w:tc>
      </w:tr>
      <w:tr w:rsidR="00315F84" w:rsidRPr="00AF039F" w14:paraId="47B7AC33" w14:textId="77777777" w:rsidTr="00DD18E4">
        <w:trPr>
          <w:trHeight w:val="904"/>
        </w:trPr>
        <w:tc>
          <w:tcPr>
            <w:tcW w:w="4821" w:type="dxa"/>
          </w:tcPr>
          <w:p w14:paraId="1ED29D9B" w14:textId="77777777" w:rsidR="00315F84" w:rsidRPr="00D25EF4" w:rsidRDefault="00315F84" w:rsidP="00DD18E4">
            <w:pPr>
              <w:jc w:val="both"/>
              <w:rPr>
                <w:rFonts w:ascii="Times New Roman" w:hAnsi="Times New Roman"/>
                <w:b/>
                <w:szCs w:val="24"/>
                <w:lang w:val="en-US"/>
              </w:rPr>
            </w:pPr>
            <w:r w:rsidRPr="00D25EF4">
              <w:rPr>
                <w:rFonts w:ascii="Times New Roman" w:hAnsi="Times New Roman"/>
                <w:b/>
                <w:szCs w:val="24"/>
                <w:lang w:val="en-US"/>
              </w:rPr>
              <w:t>Answer:</w:t>
            </w:r>
          </w:p>
          <w:p w14:paraId="10F4F357" w14:textId="77777777" w:rsidR="00315F84" w:rsidRPr="00AA3A86" w:rsidRDefault="00315F84" w:rsidP="00DD18E4">
            <w:pPr>
              <w:jc w:val="both"/>
              <w:rPr>
                <w:rFonts w:ascii="Times New Roman" w:hAnsi="Times New Roman"/>
                <w:szCs w:val="24"/>
                <w:lang w:val="en-US"/>
              </w:rPr>
            </w:pPr>
            <w:r w:rsidRPr="00464F50">
              <w:rPr>
                <w:rFonts w:ascii="Times New Roman" w:hAnsi="Times New Roman"/>
                <w:szCs w:val="24"/>
                <w:lang w:val="en"/>
              </w:rPr>
              <w:t xml:space="preserve">The Procurement Committee indicates that candidates who will </w:t>
            </w:r>
            <w:r>
              <w:rPr>
                <w:rFonts w:ascii="Times New Roman" w:hAnsi="Times New Roman"/>
                <w:szCs w:val="24"/>
                <w:lang w:val="en"/>
              </w:rPr>
              <w:t>apply for participation in the Negotiated P</w:t>
            </w:r>
            <w:r w:rsidRPr="00464F50">
              <w:rPr>
                <w:rFonts w:ascii="Times New Roman" w:hAnsi="Times New Roman"/>
                <w:szCs w:val="24"/>
                <w:lang w:val="en"/>
              </w:rPr>
              <w:t>rocedure and wi</w:t>
            </w:r>
            <w:r>
              <w:rPr>
                <w:rFonts w:ascii="Times New Roman" w:hAnsi="Times New Roman"/>
                <w:szCs w:val="24"/>
                <w:lang w:val="en"/>
              </w:rPr>
              <w:t>ll pass the first stage of the Negotiated P</w:t>
            </w:r>
            <w:r w:rsidRPr="00464F50">
              <w:rPr>
                <w:rFonts w:ascii="Times New Roman" w:hAnsi="Times New Roman"/>
                <w:szCs w:val="24"/>
                <w:lang w:val="en"/>
              </w:rPr>
              <w:t xml:space="preserve">rocedure - the </w:t>
            </w:r>
            <w:r>
              <w:rPr>
                <w:rFonts w:ascii="Times New Roman" w:hAnsi="Times New Roman"/>
                <w:szCs w:val="24"/>
                <w:lang w:val="en"/>
              </w:rPr>
              <w:t xml:space="preserve">qualification </w:t>
            </w:r>
            <w:r w:rsidRPr="00464F50">
              <w:rPr>
                <w:rFonts w:ascii="Times New Roman" w:hAnsi="Times New Roman"/>
                <w:szCs w:val="24"/>
                <w:lang w:val="en"/>
              </w:rPr>
              <w:t>check - will be invited to submit a financial and technical offer in accordance with the requirements set out in the Invitation, including the requirements of the Technical Specification.</w:t>
            </w:r>
            <w:r>
              <w:rPr>
                <w:rFonts w:ascii="Times New Roman" w:hAnsi="Times New Roman"/>
                <w:szCs w:val="24"/>
                <w:lang w:val="en"/>
              </w:rPr>
              <w:t xml:space="preserve"> </w:t>
            </w:r>
            <w:r w:rsidRPr="00464F50">
              <w:rPr>
                <w:rFonts w:ascii="Times New Roman" w:hAnsi="Times New Roman"/>
                <w:szCs w:val="24"/>
                <w:lang w:val="en"/>
              </w:rPr>
              <w:t>The full technical specification will be issued to candidates who have passed the qualification</w:t>
            </w:r>
            <w:r>
              <w:rPr>
                <w:rFonts w:ascii="Times New Roman" w:hAnsi="Times New Roman"/>
                <w:szCs w:val="24"/>
                <w:lang w:val="en"/>
              </w:rPr>
              <w:t xml:space="preserve"> and will be invited to submit an offer</w:t>
            </w:r>
            <w:r w:rsidRPr="00464F50">
              <w:rPr>
                <w:rFonts w:ascii="Times New Roman" w:hAnsi="Times New Roman"/>
                <w:szCs w:val="24"/>
                <w:lang w:val="en"/>
              </w:rPr>
              <w:t xml:space="preserve">. Consequently, </w:t>
            </w:r>
            <w:r>
              <w:rPr>
                <w:rFonts w:ascii="Times New Roman" w:hAnsi="Times New Roman"/>
                <w:szCs w:val="24"/>
                <w:lang w:val="en"/>
              </w:rPr>
              <w:t>the Procurement Committee will provide the T</w:t>
            </w:r>
            <w:r w:rsidRPr="00464F50">
              <w:rPr>
                <w:rFonts w:ascii="Times New Roman" w:hAnsi="Times New Roman"/>
                <w:szCs w:val="24"/>
                <w:lang w:val="en"/>
              </w:rPr>
              <w:t>enderers with the answers to the technical specification in the second stage of the procedure, which will have passed the selection of candidates and wi</w:t>
            </w:r>
            <w:r>
              <w:rPr>
                <w:rFonts w:ascii="Times New Roman" w:hAnsi="Times New Roman"/>
                <w:szCs w:val="24"/>
                <w:lang w:val="en"/>
              </w:rPr>
              <w:t>ll be invited to submit an offer</w:t>
            </w:r>
            <w:r w:rsidRPr="00464F50">
              <w:rPr>
                <w:rFonts w:ascii="Times New Roman" w:hAnsi="Times New Roman"/>
                <w:szCs w:val="24"/>
                <w:lang w:val="en"/>
              </w:rPr>
              <w:t>.</w:t>
            </w:r>
          </w:p>
        </w:tc>
        <w:tc>
          <w:tcPr>
            <w:tcW w:w="4819" w:type="dxa"/>
          </w:tcPr>
          <w:p w14:paraId="202814A5" w14:textId="77777777" w:rsidR="00315F84" w:rsidRPr="00AF039F" w:rsidRDefault="00315F84" w:rsidP="00DD18E4">
            <w:pPr>
              <w:widowControl w:val="0"/>
              <w:ind w:right="103"/>
              <w:jc w:val="both"/>
              <w:rPr>
                <w:rFonts w:ascii="Times New Roman" w:hAnsi="Times New Roman"/>
                <w:b/>
                <w:szCs w:val="24"/>
              </w:rPr>
            </w:pPr>
            <w:r w:rsidRPr="00AF039F">
              <w:rPr>
                <w:rFonts w:ascii="Times New Roman" w:hAnsi="Times New Roman"/>
                <w:b/>
                <w:szCs w:val="24"/>
              </w:rPr>
              <w:t>Atbilde:</w:t>
            </w:r>
          </w:p>
          <w:p w14:paraId="3CACAEB8" w14:textId="77777777" w:rsidR="00315F84" w:rsidRPr="00AF039F" w:rsidRDefault="00315F84" w:rsidP="00DD18E4">
            <w:pPr>
              <w:jc w:val="both"/>
              <w:rPr>
                <w:rFonts w:ascii="Times New Roman" w:hAnsi="Times New Roman"/>
                <w:szCs w:val="24"/>
              </w:rPr>
            </w:pPr>
            <w:r w:rsidRPr="008671A5">
              <w:rPr>
                <w:rFonts w:ascii="Times New Roman" w:hAnsi="Times New Roman"/>
                <w:szCs w:val="24"/>
              </w:rPr>
              <w:t>Iepirkuma komisija norāda, ka kandidāti, kas iesniegs pieteikumu dalībai sarunu procedūrā un izturēs sarunu procedūras pirmo posmu – kvalifikācijas pārbaudi, tiks uzaicināti iesniegt finanšu un tehnisko piedāvājumu atbilstoši Uzaicinājumā noteiktajām prasībām, tajā skaitā atbilstoši tehniskās specifikācijas prasībām. Tehniskā specifikācija pilnā apmērā tiks izsniegta kandidātiem, kuri būs izturējuši kvalifikāciju un tiks uzaicināti iesniegt piedāvājumu. Līdz ar to, iepirkuma komisija atbildes par tehnisko specifikāciju sniegs pretendentiem procedūras otrajā posmā, kuri būs izturējuši kandidātu atlasi un būs uzaicināti iesniegt piedāvājumu.</w:t>
            </w:r>
          </w:p>
        </w:tc>
      </w:tr>
      <w:tr w:rsidR="00315F84" w:rsidRPr="00AF039F" w14:paraId="69266F06" w14:textId="77777777" w:rsidTr="00DD18E4">
        <w:trPr>
          <w:trHeight w:val="557"/>
        </w:trPr>
        <w:tc>
          <w:tcPr>
            <w:tcW w:w="4821" w:type="dxa"/>
          </w:tcPr>
          <w:p w14:paraId="6C55F4D2" w14:textId="77777777" w:rsidR="00315F84" w:rsidRPr="00AF039F" w:rsidRDefault="00315F84" w:rsidP="00DD18E4">
            <w:pPr>
              <w:jc w:val="both"/>
              <w:rPr>
                <w:rFonts w:ascii="Times New Roman" w:hAnsi="Times New Roman"/>
                <w:b/>
                <w:szCs w:val="24"/>
                <w:lang w:val="en-US"/>
              </w:rPr>
            </w:pPr>
            <w:r>
              <w:rPr>
                <w:rFonts w:ascii="Times New Roman" w:hAnsi="Times New Roman"/>
                <w:b/>
                <w:szCs w:val="24"/>
                <w:lang w:val="en-US"/>
              </w:rPr>
              <w:t>Question No.3</w:t>
            </w:r>
            <w:r w:rsidRPr="00AF039F">
              <w:rPr>
                <w:rFonts w:ascii="Times New Roman" w:hAnsi="Times New Roman"/>
                <w:b/>
                <w:szCs w:val="24"/>
                <w:lang w:val="en-US"/>
              </w:rPr>
              <w:t>:</w:t>
            </w:r>
          </w:p>
          <w:p w14:paraId="389E0364" w14:textId="77777777" w:rsidR="00315F84" w:rsidRPr="008671A5" w:rsidRDefault="00315F84" w:rsidP="00DD18E4">
            <w:pPr>
              <w:jc w:val="both"/>
              <w:rPr>
                <w:rFonts w:ascii="Times New Roman" w:hAnsi="Times New Roman"/>
                <w:szCs w:val="24"/>
              </w:rPr>
            </w:pPr>
            <w:r w:rsidRPr="00B34F0E">
              <w:rPr>
                <w:rFonts w:ascii="Times New Roman" w:hAnsi="Times New Roman"/>
                <w:lang w:val="en-US"/>
              </w:rPr>
              <w:t>Point 3.7 - Will ISO 9001 be suitable as this states supplier can manufacture, assemble items etc</w:t>
            </w:r>
            <w:r>
              <w:rPr>
                <w:rFonts w:ascii="Times New Roman" w:hAnsi="Times New Roman"/>
                <w:lang w:val="en-US"/>
              </w:rPr>
              <w:t>.</w:t>
            </w:r>
            <w:r w:rsidRPr="00B34F0E">
              <w:rPr>
                <w:rFonts w:ascii="Times New Roman" w:hAnsi="Times New Roman"/>
                <w:lang w:val="en-US"/>
              </w:rPr>
              <w:t>, or a certificate of incorporation?</w:t>
            </w:r>
          </w:p>
        </w:tc>
        <w:tc>
          <w:tcPr>
            <w:tcW w:w="4819" w:type="dxa"/>
          </w:tcPr>
          <w:p w14:paraId="20F4EAC6" w14:textId="77777777" w:rsidR="00315F84" w:rsidRPr="00AF039F" w:rsidRDefault="00315F84" w:rsidP="00DD18E4">
            <w:pPr>
              <w:jc w:val="both"/>
              <w:rPr>
                <w:rFonts w:ascii="Times New Roman" w:hAnsi="Times New Roman"/>
                <w:b/>
                <w:szCs w:val="24"/>
              </w:rPr>
            </w:pPr>
            <w:r>
              <w:rPr>
                <w:rFonts w:ascii="Times New Roman" w:hAnsi="Times New Roman"/>
                <w:b/>
                <w:szCs w:val="24"/>
              </w:rPr>
              <w:t>Jautājums Nr.3</w:t>
            </w:r>
            <w:r w:rsidRPr="00AF039F">
              <w:rPr>
                <w:rFonts w:ascii="Times New Roman" w:hAnsi="Times New Roman"/>
                <w:b/>
                <w:szCs w:val="24"/>
              </w:rPr>
              <w:t>:</w:t>
            </w:r>
          </w:p>
          <w:p w14:paraId="6EDF606E" w14:textId="77777777" w:rsidR="00315F84" w:rsidRDefault="00315F84" w:rsidP="00DD18E4">
            <w:pPr>
              <w:jc w:val="both"/>
              <w:rPr>
                <w:rFonts w:ascii="Times New Roman" w:hAnsi="Times New Roman"/>
                <w:color w:val="000000" w:themeColor="text1"/>
              </w:rPr>
            </w:pPr>
            <w:r w:rsidRPr="00F363A7">
              <w:rPr>
                <w:rFonts w:ascii="Times New Roman" w:hAnsi="Times New Roman"/>
                <w:color w:val="000000" w:themeColor="text1"/>
              </w:rPr>
              <w:t>Nolikuma 3.7.punkts – Vai atbilstošs būs ISO 9001, tā kā tajā ir noteikts, ka piegādātājs var ražot, apkopt preces utt., vai apvienošanās sertifikāts?</w:t>
            </w:r>
          </w:p>
          <w:p w14:paraId="0A834623" w14:textId="77777777" w:rsidR="00315F84" w:rsidRPr="00B41B41" w:rsidRDefault="00315F84" w:rsidP="00DD18E4">
            <w:pPr>
              <w:jc w:val="both"/>
              <w:rPr>
                <w:rFonts w:ascii="Times New Roman" w:hAnsi="Times New Roman"/>
                <w:color w:val="000000" w:themeColor="text1"/>
              </w:rPr>
            </w:pPr>
          </w:p>
        </w:tc>
      </w:tr>
      <w:tr w:rsidR="00315F84" w:rsidRPr="00AF039F" w14:paraId="70814006" w14:textId="77777777" w:rsidTr="00DD18E4">
        <w:trPr>
          <w:trHeight w:val="904"/>
        </w:trPr>
        <w:tc>
          <w:tcPr>
            <w:tcW w:w="4821" w:type="dxa"/>
          </w:tcPr>
          <w:p w14:paraId="027E2FDF" w14:textId="77777777" w:rsidR="00315F84" w:rsidRPr="00730ED9" w:rsidRDefault="00315F84" w:rsidP="00DD18E4">
            <w:pPr>
              <w:jc w:val="both"/>
              <w:rPr>
                <w:rFonts w:ascii="Times New Roman" w:hAnsi="Times New Roman"/>
                <w:b/>
                <w:szCs w:val="24"/>
                <w:lang w:val="en-US"/>
              </w:rPr>
            </w:pPr>
            <w:r w:rsidRPr="00730ED9">
              <w:rPr>
                <w:rFonts w:ascii="Times New Roman" w:hAnsi="Times New Roman"/>
                <w:b/>
                <w:szCs w:val="24"/>
                <w:lang w:val="en-US"/>
              </w:rPr>
              <w:t>Answer:</w:t>
            </w:r>
          </w:p>
          <w:p w14:paraId="3DFF26B3" w14:textId="77777777" w:rsidR="00315F84" w:rsidRPr="00730ED9" w:rsidRDefault="00315F84" w:rsidP="00DD1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r w:rsidRPr="00730ED9">
              <w:rPr>
                <w:rFonts w:ascii="Times New Roman" w:hAnsi="Times New Roman"/>
                <w:szCs w:val="24"/>
                <w:lang w:val="en"/>
              </w:rPr>
              <w:t xml:space="preserve">ISO 9001 </w:t>
            </w:r>
            <w:r>
              <w:rPr>
                <w:rFonts w:ascii="Times New Roman" w:hAnsi="Times New Roman"/>
                <w:szCs w:val="24"/>
                <w:lang w:val="en"/>
              </w:rPr>
              <w:t xml:space="preserve"> or certificate of incorporation will not be in compliance with R</w:t>
            </w:r>
            <w:r w:rsidRPr="00730ED9">
              <w:rPr>
                <w:rFonts w:ascii="Times New Roman" w:hAnsi="Times New Roman"/>
                <w:szCs w:val="24"/>
                <w:lang w:val="en"/>
              </w:rPr>
              <w:t xml:space="preserve">egulation </w:t>
            </w:r>
            <w:r>
              <w:rPr>
                <w:rFonts w:ascii="Times New Roman" w:hAnsi="Times New Roman"/>
                <w:szCs w:val="24"/>
                <w:lang w:val="en"/>
              </w:rPr>
              <w:t xml:space="preserve">Clause </w:t>
            </w:r>
            <w:r w:rsidRPr="00730ED9">
              <w:rPr>
                <w:rFonts w:ascii="Times New Roman" w:hAnsi="Times New Roman"/>
                <w:szCs w:val="24"/>
                <w:lang w:val="en"/>
              </w:rPr>
              <w:t>3.7.</w:t>
            </w:r>
          </w:p>
          <w:p w14:paraId="007C6CB6" w14:textId="77777777" w:rsidR="00315F84" w:rsidRPr="005F0BF2" w:rsidRDefault="00315F84" w:rsidP="00DD18E4">
            <w:pPr>
              <w:jc w:val="both"/>
              <w:rPr>
                <w:rFonts w:ascii="Times New Roman" w:hAnsi="Times New Roman"/>
                <w:szCs w:val="24"/>
                <w:lang w:val="en-US"/>
              </w:rPr>
            </w:pPr>
            <w:r w:rsidRPr="005F0BF2">
              <w:rPr>
                <w:rFonts w:ascii="Times New Roman" w:hAnsi="Times New Roman"/>
                <w:szCs w:val="24"/>
                <w:lang w:val="en-US"/>
              </w:rPr>
              <w:t>The Candidate must submit an attested copy of special permits and/or licences for commercial activities with goods mentioned in the Common Military List of the European Union or equal document issued by competent institution thus acknowledging the Candidates rights to merchandise with relevant category military goods.</w:t>
            </w:r>
          </w:p>
          <w:p w14:paraId="406337C4" w14:textId="77777777" w:rsidR="00315F84" w:rsidRPr="00C9117A" w:rsidRDefault="00315F84" w:rsidP="00DD18E4">
            <w:pPr>
              <w:jc w:val="both"/>
              <w:rPr>
                <w:rFonts w:ascii="Times New Roman" w:hAnsi="Times New Roman"/>
                <w:szCs w:val="24"/>
                <w:lang w:val="en-US"/>
              </w:rPr>
            </w:pPr>
            <w:r w:rsidRPr="005F0BF2">
              <w:rPr>
                <w:rFonts w:ascii="Times New Roman" w:hAnsi="Times New Roman"/>
                <w:szCs w:val="24"/>
                <w:lang w:val="en-US"/>
              </w:rPr>
              <w:t xml:space="preserve">An equal document may be, for example, an explanation or an acknowledgement issued by the competent authority/institution of the candidate's country of registration stating that at the request of the candidate for export licences, in the course of a commercial activity with military goods, the candidate will be issued the necessary permit/license or a previously issued export license to a similar product if the laws of that country provides for the procedure (providing an explanation of the regulatory framework) that the export licence of military goods are issued based on the conclusion of the supply contract (request from client/end user). </w:t>
            </w:r>
          </w:p>
        </w:tc>
        <w:tc>
          <w:tcPr>
            <w:tcW w:w="4819" w:type="dxa"/>
          </w:tcPr>
          <w:p w14:paraId="395F3624" w14:textId="77777777" w:rsidR="00315F84" w:rsidRDefault="00315F84" w:rsidP="00DD18E4">
            <w:pPr>
              <w:widowControl w:val="0"/>
              <w:ind w:right="103"/>
              <w:jc w:val="both"/>
              <w:rPr>
                <w:rFonts w:ascii="Times New Roman" w:hAnsi="Times New Roman"/>
                <w:b/>
                <w:szCs w:val="24"/>
              </w:rPr>
            </w:pPr>
            <w:r w:rsidRPr="00AF039F">
              <w:rPr>
                <w:rFonts w:ascii="Times New Roman" w:hAnsi="Times New Roman"/>
                <w:b/>
                <w:szCs w:val="24"/>
              </w:rPr>
              <w:t>Atbilde:</w:t>
            </w:r>
          </w:p>
          <w:p w14:paraId="14ACE384" w14:textId="77777777" w:rsidR="00315F84" w:rsidRDefault="00315F84" w:rsidP="00DD18E4">
            <w:pPr>
              <w:widowControl w:val="0"/>
              <w:ind w:right="103"/>
              <w:jc w:val="both"/>
              <w:rPr>
                <w:rFonts w:ascii="Times New Roman" w:hAnsi="Times New Roman"/>
                <w:szCs w:val="24"/>
              </w:rPr>
            </w:pPr>
            <w:r w:rsidRPr="00730ED9">
              <w:rPr>
                <w:rFonts w:ascii="Times New Roman" w:hAnsi="Times New Roman"/>
                <w:szCs w:val="24"/>
              </w:rPr>
              <w:t xml:space="preserve">ISO 9001 </w:t>
            </w:r>
            <w:r>
              <w:rPr>
                <w:rFonts w:ascii="Times New Roman" w:hAnsi="Times New Roman"/>
                <w:szCs w:val="24"/>
              </w:rPr>
              <w:t xml:space="preserve">vai apvienošanās </w:t>
            </w:r>
            <w:r w:rsidRPr="00730ED9">
              <w:rPr>
                <w:rFonts w:ascii="Times New Roman" w:hAnsi="Times New Roman"/>
                <w:szCs w:val="24"/>
              </w:rPr>
              <w:t xml:space="preserve">sertifikāts nebūs atbilstošs </w:t>
            </w:r>
            <w:r>
              <w:rPr>
                <w:rFonts w:ascii="Times New Roman" w:hAnsi="Times New Roman"/>
                <w:szCs w:val="24"/>
              </w:rPr>
              <w:t>nolikuma 3.7. punkta prasībām</w:t>
            </w:r>
            <w:r w:rsidRPr="00730ED9">
              <w:rPr>
                <w:rFonts w:ascii="Times New Roman" w:hAnsi="Times New Roman"/>
                <w:szCs w:val="24"/>
              </w:rPr>
              <w:t xml:space="preserve">. </w:t>
            </w:r>
          </w:p>
          <w:p w14:paraId="47A0E9AA" w14:textId="77777777" w:rsidR="00315F84" w:rsidRPr="005F0BF2" w:rsidRDefault="00315F84" w:rsidP="00DD18E4">
            <w:pPr>
              <w:jc w:val="both"/>
              <w:rPr>
                <w:rFonts w:ascii="Times New Roman" w:hAnsi="Times New Roman"/>
                <w:szCs w:val="24"/>
              </w:rPr>
            </w:pPr>
            <w:r w:rsidRPr="005F0BF2">
              <w:rPr>
                <w:rFonts w:ascii="Times New Roman" w:hAnsi="Times New Roman"/>
                <w:szCs w:val="24"/>
              </w:rPr>
              <w:t>Kandidātam ir jāiesniedz speciālās atļaujas un/vai licences komercdarbībai ar Eiropas Savienības Kopējā militāro preču sarakstā minētajām precēm apliecināta kopija vai līdzvērtīgs dokuments, ko izsniegusi kompetenta iestāde, pierādot kandidāta tiesības veikt komercdarbību ar attiecīgās kategorijas militārajām precēm.</w:t>
            </w:r>
          </w:p>
          <w:p w14:paraId="0330E6C5" w14:textId="77777777" w:rsidR="00315F84" w:rsidRDefault="00315F84" w:rsidP="00DD18E4">
            <w:pPr>
              <w:jc w:val="both"/>
              <w:rPr>
                <w:rFonts w:ascii="Times New Roman" w:hAnsi="Times New Roman"/>
                <w:szCs w:val="24"/>
              </w:rPr>
            </w:pPr>
            <w:r w:rsidRPr="005F0BF2">
              <w:rPr>
                <w:rFonts w:ascii="Times New Roman" w:hAnsi="Times New Roman"/>
                <w:szCs w:val="24"/>
              </w:rPr>
              <w:t xml:space="preserve">Līdzvērtīgs dokuments var būt, piemēram, kandidāta reģistrācijas valstī kompetentās iestādes/institūcijas izsniegts skaidrojums vai apliecinājums, kurā ir norādīts, ka pēc kandidāta pieprasījuma par eksporta licenču izsniegšanu, veicot komercdarbību ar militārajām precēm, kandidātam tiks izsniegtas nepieciešamās atļaujas/licences vai iepriekš izsniegta eksporta licence uz līdzīgu preci, ja attiecīgās valsts normatīvie akti paredz kārtību (sniedzot skaidrojumu par normatīvo regulējumu), ka eksporta licences militārajām precēm tiek izsniegtas, balstoties uz noslēgtu piegādes līgumu (pieprasījumu no klienta/gala lietotāja). </w:t>
            </w:r>
          </w:p>
          <w:p w14:paraId="0611B60A" w14:textId="77777777" w:rsidR="00315F84" w:rsidRPr="00730ED9" w:rsidRDefault="00315F84" w:rsidP="00DD18E4">
            <w:pPr>
              <w:jc w:val="both"/>
              <w:rPr>
                <w:rFonts w:ascii="Times New Roman" w:hAnsi="Times New Roman"/>
                <w:szCs w:val="24"/>
              </w:rPr>
            </w:pPr>
          </w:p>
        </w:tc>
      </w:tr>
      <w:tr w:rsidR="00315F84" w:rsidRPr="00AF039F" w14:paraId="08FF5482" w14:textId="77777777" w:rsidTr="00DD18E4">
        <w:trPr>
          <w:trHeight w:val="904"/>
        </w:trPr>
        <w:tc>
          <w:tcPr>
            <w:tcW w:w="9640" w:type="dxa"/>
            <w:gridSpan w:val="2"/>
          </w:tcPr>
          <w:p w14:paraId="29822553" w14:textId="77777777" w:rsidR="00315F84" w:rsidRPr="00F6516A" w:rsidRDefault="00315F84" w:rsidP="00DD18E4">
            <w:pPr>
              <w:jc w:val="both"/>
              <w:rPr>
                <w:rFonts w:ascii="Times New Roman" w:hAnsi="Times New Roman"/>
                <w:b/>
                <w:szCs w:val="24"/>
              </w:rPr>
            </w:pPr>
            <w:r w:rsidRPr="00F6516A">
              <w:rPr>
                <w:rFonts w:ascii="Times New Roman" w:hAnsi="Times New Roman"/>
                <w:b/>
                <w:szCs w:val="24"/>
              </w:rPr>
              <w:t>Jautājums Nr.4:</w:t>
            </w:r>
          </w:p>
          <w:p w14:paraId="00DEB527" w14:textId="77777777" w:rsidR="00315F84" w:rsidRPr="00F6516A" w:rsidRDefault="00315F84" w:rsidP="00DD18E4">
            <w:pPr>
              <w:jc w:val="both"/>
              <w:rPr>
                <w:rFonts w:ascii="Times New Roman" w:hAnsi="Times New Roman"/>
                <w:sz w:val="22"/>
              </w:rPr>
            </w:pPr>
            <w:r w:rsidRPr="00F6516A">
              <w:rPr>
                <w:rFonts w:ascii="Times New Roman" w:hAnsi="Times New Roman"/>
                <w:b/>
                <w:bCs/>
              </w:rPr>
              <w:t>Likviditātes koefic</w:t>
            </w:r>
            <w:r>
              <w:rPr>
                <w:rFonts w:ascii="Times New Roman" w:hAnsi="Times New Roman"/>
                <w:b/>
                <w:bCs/>
              </w:rPr>
              <w:t>i</w:t>
            </w:r>
            <w:r w:rsidRPr="00F6516A">
              <w:rPr>
                <w:rFonts w:ascii="Times New Roman" w:hAnsi="Times New Roman"/>
                <w:b/>
                <w:bCs/>
              </w:rPr>
              <w:t>ents</w:t>
            </w:r>
          </w:p>
          <w:p w14:paraId="7AD83E08" w14:textId="77777777" w:rsidR="00315F84" w:rsidRPr="00F6516A" w:rsidRDefault="00315F84" w:rsidP="00DD18E4">
            <w:pPr>
              <w:jc w:val="both"/>
              <w:rPr>
                <w:rFonts w:ascii="Times New Roman" w:hAnsi="Times New Roman"/>
              </w:rPr>
            </w:pPr>
            <w:r w:rsidRPr="00F6516A">
              <w:rPr>
                <w:rFonts w:ascii="Times New Roman" w:hAnsi="Times New Roman"/>
              </w:rPr>
              <w:t>Saskaņā ar nolikuma 3.2. punktu Kandidātam apstiprinātajā gada pārskatā par iepriekšējo pārskata periodu likviditātes koeficients (apgrozāmie līdzekļi / īstermiņa saistības) ir ne mazāks par 1,00 (viens komats nulle). Lai apliecinātu atbilstību nolikuma 3.2. punkta prasībām, jāiesniedz Kandidāta apstiprinātā gada pārskata par iepriekšējo pārskata periodu (2017. gadu) izraksts.</w:t>
            </w:r>
          </w:p>
          <w:p w14:paraId="54D0A0D5" w14:textId="77777777" w:rsidR="00315F84" w:rsidRPr="00F6516A" w:rsidRDefault="00315F84" w:rsidP="00DD18E4">
            <w:pPr>
              <w:jc w:val="both"/>
              <w:rPr>
                <w:rFonts w:ascii="Times New Roman" w:hAnsi="Times New Roman"/>
              </w:rPr>
            </w:pPr>
            <w:r>
              <w:rPr>
                <w:rFonts w:ascii="Times New Roman" w:hAnsi="Times New Roman"/>
              </w:rPr>
              <w:t xml:space="preserve">[..] </w:t>
            </w:r>
            <w:r w:rsidRPr="00F6516A">
              <w:rPr>
                <w:rFonts w:ascii="Times New Roman" w:hAnsi="Times New Roman"/>
              </w:rPr>
              <w:t>zvērināta revidenta apstiprinātais gada pārskats par 2018. gadu iekļauj labojumus 2017. gada pārskatā, kā rezultātā mainās uzņēmuma likviditātes koefic</w:t>
            </w:r>
            <w:r>
              <w:rPr>
                <w:rFonts w:ascii="Times New Roman" w:hAnsi="Times New Roman"/>
              </w:rPr>
              <w:t>i</w:t>
            </w:r>
            <w:r w:rsidRPr="00F6516A">
              <w:rPr>
                <w:rFonts w:ascii="Times New Roman" w:hAnsi="Times New Roman"/>
              </w:rPr>
              <w:t xml:space="preserve">ents 2017. gadā. </w:t>
            </w:r>
          </w:p>
          <w:p w14:paraId="62B6EE5B" w14:textId="77777777" w:rsidR="00315F84" w:rsidRDefault="00315F84" w:rsidP="00DD18E4">
            <w:pPr>
              <w:jc w:val="both"/>
              <w:rPr>
                <w:rFonts w:ascii="Times New Roman" w:hAnsi="Times New Roman"/>
              </w:rPr>
            </w:pPr>
            <w:r w:rsidRPr="00F6516A">
              <w:rPr>
                <w:rFonts w:ascii="Times New Roman" w:hAnsi="Times New Roman"/>
              </w:rPr>
              <w:t>Ņemot vērā, ka nolikuma 3.2. punkts nosaka, ka jāiesniedz Kandidāta apstiprinātā gada pārskata par iepriekšējo pārskata periodu (2017. gadu) izraksts, un lai atspoguļotu uzņēmuma faktiskos datus,  vai būs pietiekoši, ja iesniegsim izrakstu ar jau iekļautiem 2017. gada pārskata labojumiem? Vai arī ir nepieciešams iesniegt papildus dokumentus, kas apliecina 2017.gada faktiskos datus, piemēram, apstiprinātu 2018. gada pārskatu ar zvērināta revidenta atzinumu, kur iekļauta informācija par 2017. gada pārskatu, kas ietekmējusi likviditātes koeficienta rādītāju?</w:t>
            </w:r>
          </w:p>
          <w:p w14:paraId="1EE3173D" w14:textId="77777777" w:rsidR="00315F84" w:rsidRPr="00F6516A" w:rsidRDefault="00315F84" w:rsidP="00DD18E4">
            <w:pPr>
              <w:jc w:val="both"/>
              <w:rPr>
                <w:rFonts w:ascii="Times New Roman" w:hAnsi="Times New Roman"/>
              </w:rPr>
            </w:pPr>
          </w:p>
        </w:tc>
      </w:tr>
      <w:tr w:rsidR="00315F84" w:rsidRPr="00AF039F" w14:paraId="15CF2C70" w14:textId="77777777" w:rsidTr="00DD18E4">
        <w:trPr>
          <w:trHeight w:val="904"/>
        </w:trPr>
        <w:tc>
          <w:tcPr>
            <w:tcW w:w="9640" w:type="dxa"/>
            <w:gridSpan w:val="2"/>
          </w:tcPr>
          <w:p w14:paraId="4659AE6E" w14:textId="77777777" w:rsidR="00315F84" w:rsidRPr="00AF039F" w:rsidRDefault="00315F84" w:rsidP="00DD18E4">
            <w:pPr>
              <w:widowControl w:val="0"/>
              <w:ind w:right="103"/>
              <w:jc w:val="both"/>
              <w:rPr>
                <w:rFonts w:ascii="Times New Roman" w:hAnsi="Times New Roman"/>
                <w:b/>
                <w:szCs w:val="24"/>
              </w:rPr>
            </w:pPr>
            <w:r w:rsidRPr="00AF039F">
              <w:rPr>
                <w:rFonts w:ascii="Times New Roman" w:hAnsi="Times New Roman"/>
                <w:b/>
                <w:szCs w:val="24"/>
              </w:rPr>
              <w:t>Atbilde:</w:t>
            </w:r>
          </w:p>
          <w:p w14:paraId="79859C6E" w14:textId="77777777" w:rsidR="00315F84" w:rsidRPr="005F57FC" w:rsidRDefault="00315F84" w:rsidP="00DD18E4">
            <w:pPr>
              <w:widowControl w:val="0"/>
              <w:ind w:right="103"/>
              <w:jc w:val="both"/>
              <w:rPr>
                <w:rFonts w:ascii="Times New Roman" w:hAnsi="Times New Roman"/>
              </w:rPr>
            </w:pPr>
            <w:r>
              <w:rPr>
                <w:rFonts w:ascii="Times New Roman" w:hAnsi="Times New Roman"/>
                <w:szCs w:val="24"/>
              </w:rPr>
              <w:t>Šajā gadījumā k</w:t>
            </w:r>
            <w:r w:rsidRPr="005F57FC">
              <w:rPr>
                <w:rFonts w:ascii="Times New Roman" w:hAnsi="Times New Roman"/>
                <w:szCs w:val="24"/>
              </w:rPr>
              <w:t>andidātam jāie</w:t>
            </w:r>
            <w:r>
              <w:rPr>
                <w:rFonts w:ascii="Times New Roman" w:hAnsi="Times New Roman"/>
                <w:szCs w:val="24"/>
              </w:rPr>
              <w:t>sn</w:t>
            </w:r>
            <w:r w:rsidRPr="005F57FC">
              <w:rPr>
                <w:rFonts w:ascii="Times New Roman" w:hAnsi="Times New Roman"/>
                <w:szCs w:val="24"/>
              </w:rPr>
              <w:t>iedz</w:t>
            </w:r>
            <w:r>
              <w:rPr>
                <w:rFonts w:ascii="Times New Roman" w:hAnsi="Times New Roman"/>
                <w:szCs w:val="24"/>
              </w:rPr>
              <w:t xml:space="preserve"> apstiprināta </w:t>
            </w:r>
            <w:r>
              <w:rPr>
                <w:rFonts w:ascii="Times New Roman" w:hAnsi="Times New Roman"/>
              </w:rPr>
              <w:t>2018. gada pārskata</w:t>
            </w:r>
            <w:r w:rsidRPr="00F6516A">
              <w:rPr>
                <w:rFonts w:ascii="Times New Roman" w:hAnsi="Times New Roman"/>
              </w:rPr>
              <w:t xml:space="preserve"> ar zvērināta revidenta atzinumu</w:t>
            </w:r>
            <w:r>
              <w:rPr>
                <w:rFonts w:ascii="Times New Roman" w:hAnsi="Times New Roman"/>
              </w:rPr>
              <w:t xml:space="preserve"> apliecināta kopija</w:t>
            </w:r>
            <w:r w:rsidRPr="00F6516A">
              <w:rPr>
                <w:rFonts w:ascii="Times New Roman" w:hAnsi="Times New Roman"/>
              </w:rPr>
              <w:t>, kur iekļauta informācija par 2017. gada pārskatu</w:t>
            </w:r>
            <w:r>
              <w:rPr>
                <w:rFonts w:ascii="Times New Roman" w:hAnsi="Times New Roman"/>
              </w:rPr>
              <w:t>,</w:t>
            </w:r>
            <w:r w:rsidRPr="00F6516A">
              <w:rPr>
                <w:rFonts w:ascii="Times New Roman" w:hAnsi="Times New Roman"/>
              </w:rPr>
              <w:t xml:space="preserve"> kas ietekmējusi likviditātes koeficienta rādītāju</w:t>
            </w:r>
            <w:r>
              <w:rPr>
                <w:rFonts w:ascii="Times New Roman" w:hAnsi="Times New Roman"/>
              </w:rPr>
              <w:t xml:space="preserve">. Atgādinām, ka iepirkuma komisija patur tiesības lūgt kandidātam uzrādīt dokumenta oriģinālu. </w:t>
            </w:r>
          </w:p>
        </w:tc>
      </w:tr>
      <w:tr w:rsidR="00315F84" w:rsidRPr="00AF039F" w14:paraId="44F3E18E" w14:textId="77777777" w:rsidTr="00DD18E4">
        <w:trPr>
          <w:trHeight w:val="904"/>
        </w:trPr>
        <w:tc>
          <w:tcPr>
            <w:tcW w:w="9640" w:type="dxa"/>
            <w:gridSpan w:val="2"/>
          </w:tcPr>
          <w:p w14:paraId="47E87D8F" w14:textId="77777777" w:rsidR="00315F84" w:rsidRPr="00F6516A" w:rsidRDefault="00315F84" w:rsidP="00DD18E4">
            <w:pPr>
              <w:jc w:val="both"/>
              <w:rPr>
                <w:rFonts w:ascii="Times New Roman" w:hAnsi="Times New Roman"/>
                <w:b/>
                <w:szCs w:val="24"/>
              </w:rPr>
            </w:pPr>
            <w:r w:rsidRPr="00F6516A">
              <w:rPr>
                <w:rFonts w:ascii="Times New Roman" w:hAnsi="Times New Roman"/>
                <w:b/>
                <w:szCs w:val="24"/>
              </w:rPr>
              <w:t>Jautājums Nr.5:</w:t>
            </w:r>
          </w:p>
          <w:p w14:paraId="3D25AB9E" w14:textId="77777777" w:rsidR="00315F84" w:rsidRPr="00F6516A" w:rsidRDefault="00315F84" w:rsidP="00DD18E4">
            <w:pPr>
              <w:jc w:val="both"/>
              <w:rPr>
                <w:rFonts w:ascii="Times New Roman" w:hAnsi="Times New Roman"/>
                <w:b/>
                <w:szCs w:val="24"/>
              </w:rPr>
            </w:pPr>
            <w:r w:rsidRPr="00F6516A">
              <w:rPr>
                <w:rFonts w:ascii="Times New Roman" w:hAnsi="Times New Roman"/>
                <w:b/>
                <w:bCs/>
              </w:rPr>
              <w:t>Kvalifikācijas prasības un to apliecinošie iesniedzamie dokumenti</w:t>
            </w:r>
          </w:p>
          <w:p w14:paraId="6935AFFA" w14:textId="77777777" w:rsidR="00315F84" w:rsidRDefault="00315F84" w:rsidP="00DD18E4">
            <w:pPr>
              <w:jc w:val="both"/>
              <w:rPr>
                <w:rFonts w:ascii="Times New Roman" w:hAnsi="Times New Roman"/>
              </w:rPr>
            </w:pPr>
            <w:r w:rsidRPr="00F6516A">
              <w:rPr>
                <w:rFonts w:ascii="Times New Roman" w:hAnsi="Times New Roman"/>
              </w:rPr>
              <w:t xml:space="preserve">Nolikuma 4.2.3.4. un 4.2.3. 5. punkts nosaka, ka kandidāts ((1) piegādātāju apvienība, (2) kandidāts balstās uz citu piegādātāju iespējām, lai nodrošinātu līguma izpildi vai (3) apliecinātu kandidāta atbilstību izvirzītajām kvalifikācijas prasībām, vai (4) piesaista nesaistīto apakšuzņēmēju) ir jāiesniedz nolikuma 3.1. punktā noteiktā informācija (visiem) un atbilstoši 3.2.-3.7. punktam norādītie dokumenti par attiecīgo personu (1-4), kas nodrošinās Līguma vai tās daļas izpildi (ņemot vērā plānotās personai izpildei nododamās līguma daļas). </w:t>
            </w:r>
            <w:r w:rsidRPr="00F6516A">
              <w:rPr>
                <w:rFonts w:ascii="Times New Roman" w:hAnsi="Times New Roman"/>
              </w:rPr>
              <w:br/>
              <w:t>Ja Kandidāts (kurš  atbilstoši 4.2.3.4. punktam izpilda visas nolikumā noteiktās kvalifikācijas prasības) Līguma izpildes nodrošināšanai, piesaista (2) piegādātāju, lai nodrošinātu līguma izpildi vai (4)  nesaistīto apakšuzņēmēju un nodod vienam vai otram izpildei Līguma daļu, kura nav saistīta ar nolikuma 3.2. – 3.7. punktā noteikto kvalifikācijas prasību izpildi (t.sk. iesniedzamajiem dokumentiem), vai pietiek ar to, ka kandidāts atbilstoši nolikuma 4.2.3.5. punktam par piesaistīto (2) piegādātāju līguma izpildei vai (4) nesaistīto apakšuzņēmēju iesniegs  nolikuma 3.1. punktā noteikto informāciju un apakšuzņēmēja apliecinājumu vai vienošanos par resursu nodošanu pretendentam Līguma izpildei?</w:t>
            </w:r>
          </w:p>
          <w:p w14:paraId="4BACF305" w14:textId="77777777" w:rsidR="00315F84" w:rsidRPr="00F6516A" w:rsidRDefault="00315F84" w:rsidP="00DD18E4">
            <w:pPr>
              <w:jc w:val="both"/>
              <w:rPr>
                <w:rFonts w:ascii="Times New Roman" w:hAnsi="Times New Roman"/>
              </w:rPr>
            </w:pPr>
          </w:p>
        </w:tc>
      </w:tr>
      <w:tr w:rsidR="00315F84" w:rsidRPr="00AF039F" w14:paraId="035C6849" w14:textId="77777777" w:rsidTr="00DD18E4">
        <w:trPr>
          <w:trHeight w:val="904"/>
        </w:trPr>
        <w:tc>
          <w:tcPr>
            <w:tcW w:w="9640" w:type="dxa"/>
            <w:gridSpan w:val="2"/>
          </w:tcPr>
          <w:p w14:paraId="5B20DD26" w14:textId="77777777" w:rsidR="00315F84" w:rsidRPr="00AF039F" w:rsidRDefault="00315F84" w:rsidP="00DD18E4">
            <w:pPr>
              <w:widowControl w:val="0"/>
              <w:ind w:right="103"/>
              <w:jc w:val="both"/>
              <w:rPr>
                <w:rFonts w:ascii="Times New Roman" w:hAnsi="Times New Roman"/>
                <w:b/>
                <w:szCs w:val="24"/>
              </w:rPr>
            </w:pPr>
            <w:r w:rsidRPr="00AF039F">
              <w:rPr>
                <w:rFonts w:ascii="Times New Roman" w:hAnsi="Times New Roman"/>
                <w:b/>
                <w:szCs w:val="24"/>
              </w:rPr>
              <w:t>Atbilde:</w:t>
            </w:r>
          </w:p>
          <w:p w14:paraId="16D0EF79" w14:textId="77777777" w:rsidR="00315F84" w:rsidRDefault="00315F84" w:rsidP="00DD18E4">
            <w:pPr>
              <w:widowControl w:val="0"/>
              <w:ind w:right="103"/>
              <w:jc w:val="both"/>
              <w:rPr>
                <w:rFonts w:ascii="Times New Roman" w:hAnsi="Times New Roman"/>
                <w:szCs w:val="24"/>
              </w:rPr>
            </w:pPr>
            <w:r>
              <w:rPr>
                <w:rFonts w:ascii="Times New Roman" w:hAnsi="Times New Roman"/>
                <w:szCs w:val="24"/>
              </w:rPr>
              <w:t>Gadījumā, j</w:t>
            </w:r>
            <w:r w:rsidRPr="00F6516A">
              <w:rPr>
                <w:rFonts w:ascii="Times New Roman" w:hAnsi="Times New Roman"/>
              </w:rPr>
              <w:t xml:space="preserve">a Kandidāts (kurš  atbilstoši 4.2.3.4. punktam izpilda visas nolikumā noteiktās kvalifikācijas prasības) Līguma izpildes nodrošināšanai, piesaista (2) piegādātāju, lai nodrošinātu līguma izpildi vai (4)  nesaistīto apakšuzņēmēju un nodod vienam vai otram izpildei Līguma daļu, kura nav saistīta ar nolikuma 3.2. – 3.7. punktā noteikto kvalifikācijas prasību izpildi (t.sk. iesniedzamajiem dokumentiem), </w:t>
            </w:r>
            <w:r>
              <w:rPr>
                <w:rFonts w:ascii="Times New Roman" w:hAnsi="Times New Roman"/>
              </w:rPr>
              <w:t xml:space="preserve">tad </w:t>
            </w:r>
            <w:r w:rsidRPr="00CE7C17">
              <w:rPr>
                <w:rFonts w:ascii="Times New Roman" w:hAnsi="Times New Roman"/>
                <w:u w:val="single"/>
              </w:rPr>
              <w:t>pietiek</w:t>
            </w:r>
            <w:r>
              <w:rPr>
                <w:rFonts w:ascii="Times New Roman" w:hAnsi="Times New Roman"/>
              </w:rPr>
              <w:t xml:space="preserve"> </w:t>
            </w:r>
            <w:r w:rsidRPr="00F6516A">
              <w:rPr>
                <w:rFonts w:ascii="Times New Roman" w:hAnsi="Times New Roman"/>
              </w:rPr>
              <w:t>ar to, ka kandidāts atbilstoši nolikuma 4.2.3.5. punktam par piesaistīto (2) piegādātāju līguma izpildei vai (4) nesaistīto apakšuzņēmēju iesniegs  nolikuma 3.1. punktā noteikto informāciju un apakšuzņēmēja apliecinājumu vai vienošanos par resursu nodošanu pretendentam Līguma izpildei</w:t>
            </w:r>
            <w:r>
              <w:rPr>
                <w:rFonts w:ascii="Times New Roman" w:hAnsi="Times New Roman"/>
              </w:rPr>
              <w:t xml:space="preserve">. </w:t>
            </w:r>
          </w:p>
          <w:p w14:paraId="687FA150" w14:textId="77777777" w:rsidR="00315F84" w:rsidRPr="00767890" w:rsidRDefault="00315F84" w:rsidP="00DD18E4">
            <w:pPr>
              <w:widowControl w:val="0"/>
              <w:ind w:right="103"/>
              <w:jc w:val="both"/>
              <w:rPr>
                <w:rFonts w:ascii="Times New Roman" w:hAnsi="Times New Roman"/>
                <w:szCs w:val="24"/>
              </w:rPr>
            </w:pPr>
            <w:r>
              <w:rPr>
                <w:rFonts w:ascii="Times New Roman" w:hAnsi="Times New Roman"/>
                <w:szCs w:val="24"/>
              </w:rPr>
              <w:t>Kandidātam kvalifikācijas dokumenti ir jāiespiedz par sevi un piesaistītajām personām tādā apjomā, lai tiktu izpildītas visas sarunu procedūrā izvirzītās kvalifikācijas prasībās.</w:t>
            </w:r>
          </w:p>
        </w:tc>
      </w:tr>
      <w:tr w:rsidR="00315F84" w:rsidRPr="00AF039F" w14:paraId="621C5C69" w14:textId="77777777" w:rsidTr="00DD18E4">
        <w:trPr>
          <w:trHeight w:val="904"/>
        </w:trPr>
        <w:tc>
          <w:tcPr>
            <w:tcW w:w="9640" w:type="dxa"/>
            <w:gridSpan w:val="2"/>
          </w:tcPr>
          <w:p w14:paraId="0B19736B" w14:textId="77777777" w:rsidR="00315F84" w:rsidRPr="00F6516A" w:rsidRDefault="00315F84" w:rsidP="00DD18E4">
            <w:pPr>
              <w:jc w:val="both"/>
              <w:rPr>
                <w:rFonts w:ascii="Times New Roman" w:hAnsi="Times New Roman"/>
                <w:b/>
                <w:szCs w:val="24"/>
              </w:rPr>
            </w:pPr>
            <w:r w:rsidRPr="00F6516A">
              <w:rPr>
                <w:rFonts w:ascii="Times New Roman" w:hAnsi="Times New Roman"/>
                <w:b/>
                <w:szCs w:val="24"/>
              </w:rPr>
              <w:t>Jautājums Nr.6:</w:t>
            </w:r>
          </w:p>
          <w:p w14:paraId="6A6D7A81" w14:textId="77777777" w:rsidR="00315F84" w:rsidRPr="00F6516A" w:rsidRDefault="00315F84" w:rsidP="00DD18E4">
            <w:pPr>
              <w:jc w:val="both"/>
              <w:rPr>
                <w:rFonts w:ascii="Times New Roman" w:hAnsi="Times New Roman"/>
                <w:sz w:val="22"/>
              </w:rPr>
            </w:pPr>
            <w:r w:rsidRPr="00F6516A">
              <w:rPr>
                <w:rFonts w:ascii="Times New Roman" w:hAnsi="Times New Roman"/>
                <w:b/>
                <w:bCs/>
              </w:rPr>
              <w:t>Pieteikuma forma</w:t>
            </w:r>
          </w:p>
          <w:p w14:paraId="05018E45" w14:textId="77777777" w:rsidR="00315F84" w:rsidRPr="00F6516A" w:rsidRDefault="00315F84" w:rsidP="00DD18E4">
            <w:pPr>
              <w:jc w:val="both"/>
              <w:rPr>
                <w:rFonts w:ascii="Times New Roman" w:hAnsi="Times New Roman"/>
              </w:rPr>
            </w:pPr>
            <w:r w:rsidRPr="00F6516A">
              <w:rPr>
                <w:rFonts w:ascii="Times New Roman" w:hAnsi="Times New Roman"/>
              </w:rPr>
              <w:t>Nolikuma 1. pielikumā (pieteikuma forma) 3. punktā ir jānorāda apakšuzņēmēji (personas, uz kuras iespējām balstās).</w:t>
            </w:r>
          </w:p>
          <w:p w14:paraId="27BB93A8" w14:textId="77777777" w:rsidR="00315F84" w:rsidRPr="00F6516A" w:rsidRDefault="00315F84" w:rsidP="00DD18E4">
            <w:pPr>
              <w:jc w:val="both"/>
              <w:rPr>
                <w:rFonts w:ascii="Times New Roman" w:hAnsi="Times New Roman"/>
              </w:rPr>
            </w:pPr>
            <w:r w:rsidRPr="00F6516A">
              <w:rPr>
                <w:rFonts w:ascii="Times New Roman" w:hAnsi="Times New Roman"/>
              </w:rPr>
              <w:t>Ja iepirkuma līguma izpildei tiek piesaistīts apakšuzņēmējs, uz kuru iespējām pretendents nebalstās, lai apliecinātu kvalifikācijas prasības, vai ir jāizpilda 1. pielikuma (pieteikuma forma) 3. punkts, t.sk. 3.1. un 3.2.?</w:t>
            </w:r>
          </w:p>
        </w:tc>
      </w:tr>
      <w:tr w:rsidR="00315F84" w:rsidRPr="00AF039F" w14:paraId="78E999B5" w14:textId="77777777" w:rsidTr="00DD18E4">
        <w:trPr>
          <w:trHeight w:val="675"/>
        </w:trPr>
        <w:tc>
          <w:tcPr>
            <w:tcW w:w="9640" w:type="dxa"/>
            <w:gridSpan w:val="2"/>
          </w:tcPr>
          <w:p w14:paraId="751213D0" w14:textId="77777777" w:rsidR="00315F84" w:rsidRPr="00AF039F" w:rsidRDefault="00315F84" w:rsidP="00DD18E4">
            <w:pPr>
              <w:widowControl w:val="0"/>
              <w:ind w:right="103"/>
              <w:jc w:val="both"/>
              <w:rPr>
                <w:rFonts w:ascii="Times New Roman" w:hAnsi="Times New Roman"/>
                <w:b/>
                <w:szCs w:val="24"/>
              </w:rPr>
            </w:pPr>
            <w:r w:rsidRPr="00AF039F">
              <w:rPr>
                <w:rFonts w:ascii="Times New Roman" w:hAnsi="Times New Roman"/>
                <w:b/>
                <w:szCs w:val="24"/>
              </w:rPr>
              <w:t>Atbilde:</w:t>
            </w:r>
          </w:p>
          <w:p w14:paraId="518F1370" w14:textId="77777777" w:rsidR="00315F84" w:rsidRPr="005F57FC" w:rsidRDefault="00315F84" w:rsidP="00DD18E4">
            <w:pPr>
              <w:widowControl w:val="0"/>
              <w:ind w:right="103"/>
              <w:jc w:val="both"/>
              <w:rPr>
                <w:rFonts w:ascii="Times New Roman" w:hAnsi="Times New Roman"/>
                <w:szCs w:val="24"/>
              </w:rPr>
            </w:pPr>
            <w:r w:rsidRPr="005F57FC">
              <w:rPr>
                <w:rFonts w:ascii="Times New Roman" w:hAnsi="Times New Roman"/>
                <w:szCs w:val="24"/>
              </w:rPr>
              <w:t>J</w:t>
            </w:r>
            <w:r>
              <w:rPr>
                <w:rFonts w:ascii="Times New Roman" w:hAnsi="Times New Roman"/>
                <w:szCs w:val="24"/>
              </w:rPr>
              <w:t xml:space="preserve">ā, ir jāaizpilda. </w:t>
            </w:r>
          </w:p>
        </w:tc>
      </w:tr>
      <w:tr w:rsidR="00315F84" w:rsidRPr="00AF039F" w14:paraId="2C383EED" w14:textId="77777777" w:rsidTr="00DD18E4">
        <w:trPr>
          <w:trHeight w:val="904"/>
        </w:trPr>
        <w:tc>
          <w:tcPr>
            <w:tcW w:w="9640" w:type="dxa"/>
            <w:gridSpan w:val="2"/>
          </w:tcPr>
          <w:p w14:paraId="34BAB5C8" w14:textId="77777777" w:rsidR="00315F84" w:rsidRPr="00F6516A" w:rsidRDefault="00315F84" w:rsidP="00DD18E4">
            <w:pPr>
              <w:jc w:val="both"/>
              <w:rPr>
                <w:rFonts w:ascii="Times New Roman" w:hAnsi="Times New Roman"/>
                <w:b/>
                <w:szCs w:val="24"/>
              </w:rPr>
            </w:pPr>
            <w:r w:rsidRPr="00F6516A">
              <w:rPr>
                <w:rFonts w:ascii="Times New Roman" w:hAnsi="Times New Roman"/>
                <w:b/>
                <w:szCs w:val="24"/>
              </w:rPr>
              <w:t>Jautājums Nr.7:</w:t>
            </w:r>
          </w:p>
          <w:p w14:paraId="79DC8B66" w14:textId="77777777" w:rsidR="00315F84" w:rsidRPr="00F6516A" w:rsidRDefault="00315F84" w:rsidP="00DD18E4">
            <w:pPr>
              <w:jc w:val="both"/>
              <w:rPr>
                <w:rFonts w:ascii="Times New Roman" w:hAnsi="Times New Roman"/>
                <w:sz w:val="22"/>
              </w:rPr>
            </w:pPr>
            <w:r w:rsidRPr="00F6516A">
              <w:rPr>
                <w:rFonts w:ascii="Times New Roman" w:hAnsi="Times New Roman"/>
                <w:b/>
                <w:bCs/>
              </w:rPr>
              <w:t>Piegādes drošība</w:t>
            </w:r>
          </w:p>
          <w:p w14:paraId="1CDCCEC7" w14:textId="77777777" w:rsidR="00315F84" w:rsidRPr="00F6516A" w:rsidRDefault="00315F84" w:rsidP="00DD18E4">
            <w:pPr>
              <w:jc w:val="both"/>
              <w:rPr>
                <w:rFonts w:ascii="Times New Roman" w:hAnsi="Times New Roman"/>
              </w:rPr>
            </w:pPr>
            <w:r w:rsidRPr="00F6516A">
              <w:rPr>
                <w:rFonts w:ascii="Times New Roman" w:hAnsi="Times New Roman"/>
              </w:rPr>
              <w:t xml:space="preserve">Lūdzam skaidrot vai pareizi saprotam, ka, lai izpildītu nolikuma 3.8.2. un 7.3.3. punktos izvirzītās prasības, netiks noteikta kā obligāta prasība, ka visām Preces sastāvdaļām, t.sk. cietajām bruņu plāksnēm un mīkstajiem bruņu paneļiem krīzes situācijā būs jānodrošina ražošana uz vietas Latvijā, bet tiks akceptēti alternatīvi piegādes drošības risinājumi? </w:t>
            </w:r>
          </w:p>
          <w:p w14:paraId="5DF5728C" w14:textId="77777777" w:rsidR="00315F84" w:rsidRPr="00F6516A" w:rsidRDefault="00315F84" w:rsidP="00DD18E4">
            <w:pPr>
              <w:jc w:val="both"/>
              <w:rPr>
                <w:rFonts w:ascii="Times New Roman" w:hAnsi="Times New Roman"/>
              </w:rPr>
            </w:pPr>
            <w:r w:rsidRPr="00F6516A">
              <w:rPr>
                <w:rFonts w:ascii="Times New Roman" w:hAnsi="Times New Roman"/>
              </w:rPr>
              <w:t>Lūdzam iespēju robežās precīzi norādīt atbildi uz šo jautājumi jau esošajā iepirkumu kārtā, jo šai informācijai ir izšķiroša nozīmē, ņemot vērā, ka ir jāizvēlas atbilstošs(-i) sadarbības partneris(-i), kas ietekmē tālākās iespējas iesniegt piedāvājumu un spēt piedāvāt labākos risinājumus atbilstoši Pasūtītāja vajadzībām.</w:t>
            </w:r>
          </w:p>
        </w:tc>
      </w:tr>
      <w:tr w:rsidR="00315F84" w:rsidRPr="00AF039F" w14:paraId="3FB03DB4" w14:textId="77777777" w:rsidTr="00DD18E4">
        <w:trPr>
          <w:trHeight w:val="904"/>
        </w:trPr>
        <w:tc>
          <w:tcPr>
            <w:tcW w:w="9640" w:type="dxa"/>
            <w:gridSpan w:val="2"/>
          </w:tcPr>
          <w:p w14:paraId="04D2CA51" w14:textId="77777777" w:rsidR="00315F84" w:rsidRPr="00AF039F" w:rsidRDefault="00315F84" w:rsidP="00DD18E4">
            <w:pPr>
              <w:widowControl w:val="0"/>
              <w:ind w:right="103"/>
              <w:jc w:val="both"/>
              <w:rPr>
                <w:rFonts w:ascii="Times New Roman" w:hAnsi="Times New Roman"/>
                <w:b/>
                <w:szCs w:val="24"/>
              </w:rPr>
            </w:pPr>
            <w:r w:rsidRPr="00AF039F">
              <w:rPr>
                <w:rFonts w:ascii="Times New Roman" w:hAnsi="Times New Roman"/>
                <w:b/>
                <w:szCs w:val="24"/>
              </w:rPr>
              <w:t>Atbilde:</w:t>
            </w:r>
          </w:p>
          <w:p w14:paraId="25A82C17" w14:textId="77777777" w:rsidR="00315F84" w:rsidRPr="0012335A" w:rsidRDefault="00315F84" w:rsidP="00DD18E4">
            <w:pPr>
              <w:widowControl w:val="0"/>
              <w:ind w:right="103"/>
              <w:jc w:val="both"/>
              <w:rPr>
                <w:rFonts w:ascii="Times New Roman" w:hAnsi="Times New Roman"/>
                <w:szCs w:val="24"/>
              </w:rPr>
            </w:pPr>
            <w:r w:rsidRPr="0012335A">
              <w:rPr>
                <w:rFonts w:ascii="Times New Roman" w:hAnsi="Times New Roman"/>
                <w:szCs w:val="24"/>
              </w:rPr>
              <w:t xml:space="preserve">Sarunu procedūras nolikuma </w:t>
            </w:r>
            <w:r>
              <w:rPr>
                <w:rFonts w:ascii="Times New Roman" w:hAnsi="Times New Roman"/>
                <w:szCs w:val="24"/>
              </w:rPr>
              <w:t>3.8.2. punkts nosaka, ka k</w:t>
            </w:r>
            <w:r w:rsidRPr="0012335A">
              <w:rPr>
                <w:rFonts w:ascii="Times New Roman" w:hAnsi="Times New Roman"/>
                <w:szCs w:val="24"/>
              </w:rPr>
              <w:t>rīzes situācijā kandidātam jāspēj nodrošināt Preces pieejamība pilnā komplektācijā Latvijas teritorijā</w:t>
            </w:r>
            <w:r>
              <w:rPr>
                <w:rFonts w:ascii="Times New Roman" w:hAnsi="Times New Roman"/>
                <w:szCs w:val="24"/>
              </w:rPr>
              <w:t xml:space="preserve">. </w:t>
            </w:r>
          </w:p>
        </w:tc>
      </w:tr>
    </w:tbl>
    <w:p w14:paraId="673C09F1" w14:textId="77777777" w:rsidR="00315F84" w:rsidRDefault="00315F84" w:rsidP="0051753D">
      <w:pPr>
        <w:jc w:val="both"/>
        <w:rPr>
          <w:rFonts w:ascii="Times New Roman" w:hAnsi="Times New Roman"/>
          <w:szCs w:val="24"/>
        </w:rPr>
      </w:pPr>
    </w:p>
    <w:p w14:paraId="27AB6B87" w14:textId="77777777" w:rsidR="0051753D" w:rsidRPr="00831977" w:rsidRDefault="0051753D" w:rsidP="0051753D">
      <w:pPr>
        <w:jc w:val="both"/>
        <w:rPr>
          <w:rFonts w:ascii="Times New Roman" w:hAnsi="Times New Roman"/>
          <w:szCs w:val="24"/>
          <w:lang w:val="en-US"/>
        </w:rPr>
      </w:pPr>
      <w:bookmarkStart w:id="0" w:name="_GoBack"/>
      <w:bookmarkEnd w:id="0"/>
      <w:r w:rsidRPr="00290BC4">
        <w:rPr>
          <w:rFonts w:ascii="Times New Roman" w:hAnsi="Times New Roman"/>
          <w:szCs w:val="24"/>
        </w:rPr>
        <w:t xml:space="preserve">Iepirkuma komisijas sniegtās atbildes un skaidrojumi ir neatņemama sarunu procedūras noteikumu sastāvdaļa. </w:t>
      </w:r>
      <w:r w:rsidRPr="00831977">
        <w:rPr>
          <w:rFonts w:ascii="Times New Roman" w:hAnsi="Times New Roman"/>
          <w:szCs w:val="24"/>
          <w:lang w:val="en-US"/>
        </w:rPr>
        <w:t xml:space="preserve">The answers and adjustments prepared by the Procurement Committee are integral components of the Negotiated Procedure requirements. </w:t>
      </w:r>
    </w:p>
    <w:p w14:paraId="4DFA8B5B" w14:textId="77777777" w:rsidR="0051753D" w:rsidRDefault="0051753D" w:rsidP="004E2536">
      <w:pPr>
        <w:pStyle w:val="Header"/>
        <w:tabs>
          <w:tab w:val="clear" w:pos="4320"/>
          <w:tab w:val="clear" w:pos="8640"/>
          <w:tab w:val="left" w:pos="561"/>
          <w:tab w:val="center" w:pos="7854"/>
          <w:tab w:val="right" w:pos="9000"/>
        </w:tabs>
        <w:rPr>
          <w:rFonts w:ascii="Times New Roman" w:hAnsi="Times New Roman"/>
          <w:szCs w:val="24"/>
        </w:rPr>
      </w:pPr>
    </w:p>
    <w:sectPr w:rsidR="0051753D" w:rsidSect="005F0BF2">
      <w:footerReference w:type="even" r:id="rId8"/>
      <w:pgSz w:w="11906" w:h="16838"/>
      <w:pgMar w:top="993" w:right="1247" w:bottom="851" w:left="1800" w:header="360"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16982" w14:textId="77777777" w:rsidR="0007514E" w:rsidRDefault="0007514E">
      <w:r>
        <w:separator/>
      </w:r>
    </w:p>
  </w:endnote>
  <w:endnote w:type="continuationSeparator" w:id="0">
    <w:p w14:paraId="394D57BD" w14:textId="77777777" w:rsidR="0007514E" w:rsidRDefault="0007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DC991" w14:textId="77777777" w:rsidR="00CC43F0" w:rsidRDefault="00611CF5" w:rsidP="00F06B66">
    <w:pPr>
      <w:pStyle w:val="Footer"/>
      <w:framePr w:wrap="around" w:vAnchor="text" w:hAnchor="margin" w:xAlign="center" w:y="1"/>
      <w:rPr>
        <w:rStyle w:val="PageNumber"/>
      </w:rPr>
    </w:pPr>
    <w:r>
      <w:rPr>
        <w:rStyle w:val="PageNumber"/>
      </w:rPr>
      <w:fldChar w:fldCharType="begin"/>
    </w:r>
    <w:r w:rsidR="00CC43F0">
      <w:rPr>
        <w:rStyle w:val="PageNumber"/>
      </w:rPr>
      <w:instrText xml:space="preserve">PAGE  </w:instrText>
    </w:r>
    <w:r>
      <w:rPr>
        <w:rStyle w:val="PageNumber"/>
      </w:rPr>
      <w:fldChar w:fldCharType="separate"/>
    </w:r>
    <w:r w:rsidR="00B7180F">
      <w:rPr>
        <w:rStyle w:val="PageNumber"/>
        <w:noProof/>
      </w:rPr>
      <w:t>3</w:t>
    </w:r>
    <w:r>
      <w:rPr>
        <w:rStyle w:val="PageNumber"/>
      </w:rPr>
      <w:fldChar w:fldCharType="end"/>
    </w:r>
  </w:p>
  <w:p w14:paraId="475A7C11" w14:textId="77777777" w:rsidR="00CC43F0" w:rsidRDefault="00CC4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96E48" w14:textId="77777777" w:rsidR="0007514E" w:rsidRDefault="0007514E">
      <w:r>
        <w:separator/>
      </w:r>
    </w:p>
  </w:footnote>
  <w:footnote w:type="continuationSeparator" w:id="0">
    <w:p w14:paraId="078B91FD" w14:textId="77777777" w:rsidR="0007514E" w:rsidRDefault="00075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F40"/>
    <w:multiLevelType w:val="multilevel"/>
    <w:tmpl w:val="0978C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5930E30"/>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15:restartNumberingAfterBreak="0">
    <w:nsid w:val="0EDC4362"/>
    <w:multiLevelType w:val="hybridMultilevel"/>
    <w:tmpl w:val="7F4CF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1D10AF"/>
    <w:multiLevelType w:val="multilevel"/>
    <w:tmpl w:val="0420945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19EB6F72"/>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7" w15:restartNumberingAfterBreak="0">
    <w:nsid w:val="1C2B585D"/>
    <w:multiLevelType w:val="hybridMultilevel"/>
    <w:tmpl w:val="ADBEDAC0"/>
    <w:lvl w:ilvl="0" w:tplc="2B2CC54C">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C9C43C9"/>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335E50"/>
    <w:multiLevelType w:val="hybridMultilevel"/>
    <w:tmpl w:val="9CA6F1E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6032FC"/>
    <w:multiLevelType w:val="hybridMultilevel"/>
    <w:tmpl w:val="39DE6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C67766"/>
    <w:multiLevelType w:val="hybridMultilevel"/>
    <w:tmpl w:val="9BF20004"/>
    <w:lvl w:ilvl="0" w:tplc="BFFE214A">
      <w:start w:val="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2" w15:restartNumberingAfterBreak="0">
    <w:nsid w:val="294737AD"/>
    <w:multiLevelType w:val="hybridMultilevel"/>
    <w:tmpl w:val="8B12C8A4"/>
    <w:lvl w:ilvl="0" w:tplc="55DC4580">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C5C08EC"/>
    <w:multiLevelType w:val="multilevel"/>
    <w:tmpl w:val="E1CA7C5C"/>
    <w:lvl w:ilvl="0">
      <w:start w:val="8"/>
      <w:numFmt w:val="decimal"/>
      <w:lvlText w:val="%1."/>
      <w:lvlJc w:val="left"/>
      <w:pPr>
        <w:ind w:left="360" w:hanging="360"/>
      </w:pPr>
      <w:rPr>
        <w:rFonts w:ascii="Times New Roman" w:eastAsia="Times New Roman" w:hAnsi="Times New Roman" w:cs="Times New Roman"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0E343CF"/>
    <w:multiLevelType w:val="hybridMultilevel"/>
    <w:tmpl w:val="1BD86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1D1504"/>
    <w:multiLevelType w:val="hybridMultilevel"/>
    <w:tmpl w:val="1AA80892"/>
    <w:lvl w:ilvl="0" w:tplc="06369888">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14448"/>
    <w:multiLevelType w:val="hybridMultilevel"/>
    <w:tmpl w:val="636EF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B55116"/>
    <w:multiLevelType w:val="multilevel"/>
    <w:tmpl w:val="B7944594"/>
    <w:lvl w:ilvl="0">
      <w:start w:val="1"/>
      <w:numFmt w:val="decimal"/>
      <w:lvlText w:val="%1."/>
      <w:lvlJc w:val="left"/>
      <w:pPr>
        <w:tabs>
          <w:tab w:val="num" w:pos="1110"/>
        </w:tabs>
        <w:ind w:left="1110" w:hanging="75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4A06DFF"/>
    <w:multiLevelType w:val="multilevel"/>
    <w:tmpl w:val="9262620C"/>
    <w:styleLink w:val="Style1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B5486A"/>
    <w:multiLevelType w:val="hybridMultilevel"/>
    <w:tmpl w:val="AAB0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1903F5"/>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21" w15:restartNumberingAfterBreak="0">
    <w:nsid w:val="556B1EBE"/>
    <w:multiLevelType w:val="hybridMultilevel"/>
    <w:tmpl w:val="50A086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564E4933"/>
    <w:multiLevelType w:val="hybridMultilevel"/>
    <w:tmpl w:val="70E8D8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9236C00"/>
    <w:multiLevelType w:val="multilevel"/>
    <w:tmpl w:val="D3D29A6C"/>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233E48"/>
    <w:multiLevelType w:val="multilevel"/>
    <w:tmpl w:val="C26C3BF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F4E0E58"/>
    <w:multiLevelType w:val="hybridMultilevel"/>
    <w:tmpl w:val="2DB61B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49C715D"/>
    <w:multiLevelType w:val="hybridMultilevel"/>
    <w:tmpl w:val="5B925FAE"/>
    <w:lvl w:ilvl="0" w:tplc="01C8B244">
      <w:start w:val="4"/>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8" w15:restartNumberingAfterBreak="0">
    <w:nsid w:val="66094085"/>
    <w:multiLevelType w:val="multilevel"/>
    <w:tmpl w:val="93E66E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7E632AB"/>
    <w:multiLevelType w:val="multilevel"/>
    <w:tmpl w:val="C96E012A"/>
    <w:lvl w:ilvl="0">
      <w:start w:val="1"/>
      <w:numFmt w:val="decimal"/>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30" w15:restartNumberingAfterBreak="0">
    <w:nsid w:val="691B7A70"/>
    <w:multiLevelType w:val="hybridMultilevel"/>
    <w:tmpl w:val="B1848A90"/>
    <w:lvl w:ilvl="0" w:tplc="3B326E0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B3856"/>
    <w:multiLevelType w:val="hybridMultilevel"/>
    <w:tmpl w:val="AAB0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5D1779"/>
    <w:multiLevelType w:val="multilevel"/>
    <w:tmpl w:val="3A00A534"/>
    <w:lvl w:ilvl="0">
      <w:start w:val="8"/>
      <w:numFmt w:val="decimal"/>
      <w:lvlText w:val="%1."/>
      <w:lvlJc w:val="left"/>
      <w:pPr>
        <w:ind w:left="360" w:hanging="360"/>
      </w:pPr>
      <w:rPr>
        <w:rFonts w:cs="Times New Roman" w:hint="default"/>
        <w:b w:val="0"/>
        <w:i w:val="0"/>
      </w:rPr>
    </w:lvl>
    <w:lvl w:ilvl="1">
      <w:start w:val="9"/>
      <w:numFmt w:val="decimal"/>
      <w:lvlText w:val="%2."/>
      <w:lvlJc w:val="left"/>
      <w:pPr>
        <w:ind w:left="716" w:hanging="432"/>
      </w:pPr>
      <w:rPr>
        <w:rFonts w:cs="Times New Roman" w:hint="default"/>
        <w:b w:val="0"/>
        <w:i w:val="0"/>
        <w:strike w:val="0"/>
        <w:dstrike w:val="0"/>
        <w:u w:val="none"/>
        <w:effect w:val="none"/>
      </w:rPr>
    </w:lvl>
    <w:lvl w:ilvl="2">
      <w:start w:val="1"/>
      <w:numFmt w:val="decimal"/>
      <w:lvlText w:val="%2.%3."/>
      <w:lvlJc w:val="left"/>
      <w:pPr>
        <w:ind w:left="1921"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78F52A5E"/>
    <w:multiLevelType w:val="multilevel"/>
    <w:tmpl w:val="9262620C"/>
    <w:numStyleLink w:val="Style18"/>
  </w:abstractNum>
  <w:abstractNum w:abstractNumId="34" w15:restartNumberingAfterBreak="0">
    <w:nsid w:val="7D8C3D7F"/>
    <w:multiLevelType w:val="hybridMultilevel"/>
    <w:tmpl w:val="588C5E5E"/>
    <w:lvl w:ilvl="0" w:tplc="4CE0BB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24"/>
  </w:num>
  <w:num w:numId="5">
    <w:abstractNumId w:val="21"/>
  </w:num>
  <w:num w:numId="6">
    <w:abstractNumId w:val="9"/>
  </w:num>
  <w:num w:numId="7">
    <w:abstractNumId w:val="22"/>
  </w:num>
  <w:num w:numId="8">
    <w:abstractNumId w:val="2"/>
  </w:num>
  <w:num w:numId="9">
    <w:abstractNumId w:val="2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23"/>
  </w:num>
  <w:num w:numId="14">
    <w:abstractNumId w:val="5"/>
  </w:num>
  <w:num w:numId="15">
    <w:abstractNumId w:val="32"/>
  </w:num>
  <w:num w:numId="16">
    <w:abstractNumId w:val="34"/>
  </w:num>
  <w:num w:numId="17">
    <w:abstractNumId w:val="3"/>
  </w:num>
  <w:num w:numId="18">
    <w:abstractNumId w:val="12"/>
  </w:num>
  <w:num w:numId="19">
    <w:abstractNumId w:val="27"/>
  </w:num>
  <w:num w:numId="20">
    <w:abstractNumId w:val="11"/>
  </w:num>
  <w:num w:numId="21">
    <w:abstractNumId w:val="7"/>
  </w:num>
  <w:num w:numId="22">
    <w:abstractNumId w:val="28"/>
  </w:num>
  <w:num w:numId="23">
    <w:abstractNumId w:val="8"/>
  </w:num>
  <w:num w:numId="24">
    <w:abstractNumId w:val="26"/>
  </w:num>
  <w:num w:numId="25">
    <w:abstractNumId w:val="1"/>
  </w:num>
  <w:num w:numId="26">
    <w:abstractNumId w:val="14"/>
  </w:num>
  <w:num w:numId="27">
    <w:abstractNumId w:val="18"/>
  </w:num>
  <w:num w:numId="28">
    <w:abstractNumId w:val="33"/>
  </w:num>
  <w:num w:numId="29">
    <w:abstractNumId w:val="25"/>
  </w:num>
  <w:num w:numId="30">
    <w:abstractNumId w:val="13"/>
  </w:num>
  <w:num w:numId="31">
    <w:abstractNumId w:val="31"/>
  </w:num>
  <w:num w:numId="32">
    <w:abstractNumId w:val="19"/>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2"/>
  </w:compat>
  <w:rsids>
    <w:rsidRoot w:val="00F06B66"/>
    <w:rsid w:val="0000508E"/>
    <w:rsid w:val="00017833"/>
    <w:rsid w:val="00017DED"/>
    <w:rsid w:val="00021D9D"/>
    <w:rsid w:val="00025E10"/>
    <w:rsid w:val="000308A6"/>
    <w:rsid w:val="000339BC"/>
    <w:rsid w:val="0006430F"/>
    <w:rsid w:val="00064B36"/>
    <w:rsid w:val="00070216"/>
    <w:rsid w:val="000746D3"/>
    <w:rsid w:val="0007514E"/>
    <w:rsid w:val="000808EE"/>
    <w:rsid w:val="0009475B"/>
    <w:rsid w:val="00094C15"/>
    <w:rsid w:val="000B7A34"/>
    <w:rsid w:val="000C3CE8"/>
    <w:rsid w:val="000C575C"/>
    <w:rsid w:val="000C781E"/>
    <w:rsid w:val="000C786F"/>
    <w:rsid w:val="000D06E0"/>
    <w:rsid w:val="000E1111"/>
    <w:rsid w:val="000E245C"/>
    <w:rsid w:val="00100C63"/>
    <w:rsid w:val="00101F96"/>
    <w:rsid w:val="00104785"/>
    <w:rsid w:val="001133AF"/>
    <w:rsid w:val="00114E13"/>
    <w:rsid w:val="00116095"/>
    <w:rsid w:val="00117E24"/>
    <w:rsid w:val="0012026D"/>
    <w:rsid w:val="00121134"/>
    <w:rsid w:val="0012547E"/>
    <w:rsid w:val="00126CA4"/>
    <w:rsid w:val="001315DD"/>
    <w:rsid w:val="00133D56"/>
    <w:rsid w:val="00142594"/>
    <w:rsid w:val="00142D3B"/>
    <w:rsid w:val="001523FF"/>
    <w:rsid w:val="00154032"/>
    <w:rsid w:val="001542E1"/>
    <w:rsid w:val="00160097"/>
    <w:rsid w:val="001631B2"/>
    <w:rsid w:val="00167778"/>
    <w:rsid w:val="001763F9"/>
    <w:rsid w:val="00182F10"/>
    <w:rsid w:val="00184552"/>
    <w:rsid w:val="00191DFE"/>
    <w:rsid w:val="0019268A"/>
    <w:rsid w:val="001A054C"/>
    <w:rsid w:val="001A1246"/>
    <w:rsid w:val="001A23E9"/>
    <w:rsid w:val="001A4B90"/>
    <w:rsid w:val="001A5E25"/>
    <w:rsid w:val="001A657C"/>
    <w:rsid w:val="001B1268"/>
    <w:rsid w:val="001B17DC"/>
    <w:rsid w:val="001B4511"/>
    <w:rsid w:val="001C35CF"/>
    <w:rsid w:val="001C4BB8"/>
    <w:rsid w:val="001C62FC"/>
    <w:rsid w:val="001D37CC"/>
    <w:rsid w:val="001D467C"/>
    <w:rsid w:val="001D46BF"/>
    <w:rsid w:val="001E43FD"/>
    <w:rsid w:val="001F0E1D"/>
    <w:rsid w:val="001F4EF1"/>
    <w:rsid w:val="001F7787"/>
    <w:rsid w:val="00212FB7"/>
    <w:rsid w:val="002133CC"/>
    <w:rsid w:val="00214D25"/>
    <w:rsid w:val="00225B53"/>
    <w:rsid w:val="00225EDC"/>
    <w:rsid w:val="00236DAF"/>
    <w:rsid w:val="002411FF"/>
    <w:rsid w:val="00267DC9"/>
    <w:rsid w:val="00271564"/>
    <w:rsid w:val="002773FD"/>
    <w:rsid w:val="002910A6"/>
    <w:rsid w:val="00292AAB"/>
    <w:rsid w:val="002D02EC"/>
    <w:rsid w:val="002E0E99"/>
    <w:rsid w:val="002F143E"/>
    <w:rsid w:val="002F215A"/>
    <w:rsid w:val="002F5646"/>
    <w:rsid w:val="003101AF"/>
    <w:rsid w:val="00311A37"/>
    <w:rsid w:val="00315F84"/>
    <w:rsid w:val="00320016"/>
    <w:rsid w:val="00322318"/>
    <w:rsid w:val="00330E85"/>
    <w:rsid w:val="00334626"/>
    <w:rsid w:val="00347A33"/>
    <w:rsid w:val="00355B6F"/>
    <w:rsid w:val="00364ABD"/>
    <w:rsid w:val="00364F21"/>
    <w:rsid w:val="00373ACD"/>
    <w:rsid w:val="00374512"/>
    <w:rsid w:val="00385615"/>
    <w:rsid w:val="00392C1E"/>
    <w:rsid w:val="00393C38"/>
    <w:rsid w:val="003A4D61"/>
    <w:rsid w:val="003B06D5"/>
    <w:rsid w:val="003B1834"/>
    <w:rsid w:val="003B40D0"/>
    <w:rsid w:val="003B554D"/>
    <w:rsid w:val="003B6A59"/>
    <w:rsid w:val="003B757B"/>
    <w:rsid w:val="003C726B"/>
    <w:rsid w:val="003D3B44"/>
    <w:rsid w:val="003E3C50"/>
    <w:rsid w:val="003F01DB"/>
    <w:rsid w:val="003F13B7"/>
    <w:rsid w:val="00400BD5"/>
    <w:rsid w:val="004013F0"/>
    <w:rsid w:val="00417423"/>
    <w:rsid w:val="00425636"/>
    <w:rsid w:val="00440D52"/>
    <w:rsid w:val="00441609"/>
    <w:rsid w:val="004523F7"/>
    <w:rsid w:val="00454CD3"/>
    <w:rsid w:val="00460374"/>
    <w:rsid w:val="0046112F"/>
    <w:rsid w:val="004754A3"/>
    <w:rsid w:val="0048109A"/>
    <w:rsid w:val="004834F2"/>
    <w:rsid w:val="0049490E"/>
    <w:rsid w:val="004A7961"/>
    <w:rsid w:val="004A7F70"/>
    <w:rsid w:val="004B417F"/>
    <w:rsid w:val="004B5CEE"/>
    <w:rsid w:val="004B7D7B"/>
    <w:rsid w:val="004D3CC8"/>
    <w:rsid w:val="004D4356"/>
    <w:rsid w:val="004E2536"/>
    <w:rsid w:val="004E2C77"/>
    <w:rsid w:val="004E36BB"/>
    <w:rsid w:val="004F0D8D"/>
    <w:rsid w:val="004F23A9"/>
    <w:rsid w:val="004F46F3"/>
    <w:rsid w:val="004F4AC5"/>
    <w:rsid w:val="005127C4"/>
    <w:rsid w:val="00516443"/>
    <w:rsid w:val="0051753D"/>
    <w:rsid w:val="00521C23"/>
    <w:rsid w:val="00522FF3"/>
    <w:rsid w:val="00530D21"/>
    <w:rsid w:val="00535C5B"/>
    <w:rsid w:val="005441D7"/>
    <w:rsid w:val="00546DC8"/>
    <w:rsid w:val="00556899"/>
    <w:rsid w:val="005615BF"/>
    <w:rsid w:val="00567750"/>
    <w:rsid w:val="005733C9"/>
    <w:rsid w:val="005952FF"/>
    <w:rsid w:val="005A26FF"/>
    <w:rsid w:val="005B60D7"/>
    <w:rsid w:val="005B6DC4"/>
    <w:rsid w:val="005C0904"/>
    <w:rsid w:val="005D19BF"/>
    <w:rsid w:val="005D1CEB"/>
    <w:rsid w:val="005D1D24"/>
    <w:rsid w:val="005D5C90"/>
    <w:rsid w:val="005E097B"/>
    <w:rsid w:val="005E7ED4"/>
    <w:rsid w:val="005F0BF2"/>
    <w:rsid w:val="005F0F79"/>
    <w:rsid w:val="005F4B20"/>
    <w:rsid w:val="006018F6"/>
    <w:rsid w:val="00611CF5"/>
    <w:rsid w:val="00614145"/>
    <w:rsid w:val="00614775"/>
    <w:rsid w:val="0061621C"/>
    <w:rsid w:val="00617E1E"/>
    <w:rsid w:val="006208DC"/>
    <w:rsid w:val="0062428E"/>
    <w:rsid w:val="006438A5"/>
    <w:rsid w:val="00652709"/>
    <w:rsid w:val="00653334"/>
    <w:rsid w:val="00660A51"/>
    <w:rsid w:val="00667C1F"/>
    <w:rsid w:val="006711CE"/>
    <w:rsid w:val="00674966"/>
    <w:rsid w:val="00674F06"/>
    <w:rsid w:val="0067741D"/>
    <w:rsid w:val="006809B9"/>
    <w:rsid w:val="00682D3F"/>
    <w:rsid w:val="00683247"/>
    <w:rsid w:val="006840C3"/>
    <w:rsid w:val="00692141"/>
    <w:rsid w:val="006A0ACA"/>
    <w:rsid w:val="006A4E1E"/>
    <w:rsid w:val="006A5BCB"/>
    <w:rsid w:val="006A63A5"/>
    <w:rsid w:val="006B35A3"/>
    <w:rsid w:val="006B3ACE"/>
    <w:rsid w:val="006B6A59"/>
    <w:rsid w:val="006C004C"/>
    <w:rsid w:val="006C31D5"/>
    <w:rsid w:val="006C5CE2"/>
    <w:rsid w:val="006D0E46"/>
    <w:rsid w:val="006E07CE"/>
    <w:rsid w:val="006F0FCA"/>
    <w:rsid w:val="00703356"/>
    <w:rsid w:val="00710199"/>
    <w:rsid w:val="007142EF"/>
    <w:rsid w:val="007305C8"/>
    <w:rsid w:val="0073221D"/>
    <w:rsid w:val="007343B7"/>
    <w:rsid w:val="0074338F"/>
    <w:rsid w:val="00744F9E"/>
    <w:rsid w:val="00746FC8"/>
    <w:rsid w:val="00761947"/>
    <w:rsid w:val="0076380E"/>
    <w:rsid w:val="00764191"/>
    <w:rsid w:val="00766EF3"/>
    <w:rsid w:val="00767541"/>
    <w:rsid w:val="00767933"/>
    <w:rsid w:val="00777986"/>
    <w:rsid w:val="0078530F"/>
    <w:rsid w:val="00786E32"/>
    <w:rsid w:val="00791E01"/>
    <w:rsid w:val="007A05FE"/>
    <w:rsid w:val="007B174A"/>
    <w:rsid w:val="007B2E29"/>
    <w:rsid w:val="007B7F20"/>
    <w:rsid w:val="007C2CF7"/>
    <w:rsid w:val="007C3AC4"/>
    <w:rsid w:val="007C3E54"/>
    <w:rsid w:val="007D10F6"/>
    <w:rsid w:val="007D2B54"/>
    <w:rsid w:val="007E46D5"/>
    <w:rsid w:val="007E7F38"/>
    <w:rsid w:val="007F106C"/>
    <w:rsid w:val="007F350B"/>
    <w:rsid w:val="00802CDD"/>
    <w:rsid w:val="008038EE"/>
    <w:rsid w:val="00805C5C"/>
    <w:rsid w:val="00805D03"/>
    <w:rsid w:val="00822E7D"/>
    <w:rsid w:val="0082374B"/>
    <w:rsid w:val="00827712"/>
    <w:rsid w:val="00831977"/>
    <w:rsid w:val="00840E41"/>
    <w:rsid w:val="008711A4"/>
    <w:rsid w:val="008742BF"/>
    <w:rsid w:val="0087630E"/>
    <w:rsid w:val="0088798C"/>
    <w:rsid w:val="00892229"/>
    <w:rsid w:val="00894D85"/>
    <w:rsid w:val="008B2C62"/>
    <w:rsid w:val="008B44F8"/>
    <w:rsid w:val="008C21BE"/>
    <w:rsid w:val="008D19D3"/>
    <w:rsid w:val="008D3C3B"/>
    <w:rsid w:val="008D64F5"/>
    <w:rsid w:val="008E19CC"/>
    <w:rsid w:val="008E22DF"/>
    <w:rsid w:val="008E628C"/>
    <w:rsid w:val="008F2787"/>
    <w:rsid w:val="008F2C49"/>
    <w:rsid w:val="008F3E97"/>
    <w:rsid w:val="008F5C44"/>
    <w:rsid w:val="008F79CD"/>
    <w:rsid w:val="009031F9"/>
    <w:rsid w:val="00904321"/>
    <w:rsid w:val="009114C1"/>
    <w:rsid w:val="00911E46"/>
    <w:rsid w:val="0091407D"/>
    <w:rsid w:val="00920FF2"/>
    <w:rsid w:val="00933AE4"/>
    <w:rsid w:val="00934EA9"/>
    <w:rsid w:val="009362F5"/>
    <w:rsid w:val="009377F3"/>
    <w:rsid w:val="00944550"/>
    <w:rsid w:val="00947773"/>
    <w:rsid w:val="00952965"/>
    <w:rsid w:val="00963AF2"/>
    <w:rsid w:val="00972489"/>
    <w:rsid w:val="00972F19"/>
    <w:rsid w:val="009836DE"/>
    <w:rsid w:val="00991D38"/>
    <w:rsid w:val="00996C5E"/>
    <w:rsid w:val="009A11C7"/>
    <w:rsid w:val="009A4C1E"/>
    <w:rsid w:val="009A6F7C"/>
    <w:rsid w:val="009A767E"/>
    <w:rsid w:val="009B29FD"/>
    <w:rsid w:val="009B3887"/>
    <w:rsid w:val="009C1707"/>
    <w:rsid w:val="009C536A"/>
    <w:rsid w:val="009C5DE4"/>
    <w:rsid w:val="009C7B02"/>
    <w:rsid w:val="009F5023"/>
    <w:rsid w:val="00A042B3"/>
    <w:rsid w:val="00A07FD8"/>
    <w:rsid w:val="00A11E6C"/>
    <w:rsid w:val="00A21EF5"/>
    <w:rsid w:val="00A2551D"/>
    <w:rsid w:val="00A32D68"/>
    <w:rsid w:val="00A366F2"/>
    <w:rsid w:val="00A40C65"/>
    <w:rsid w:val="00A44228"/>
    <w:rsid w:val="00A442DF"/>
    <w:rsid w:val="00A44BC1"/>
    <w:rsid w:val="00A46428"/>
    <w:rsid w:val="00A4743E"/>
    <w:rsid w:val="00A578AC"/>
    <w:rsid w:val="00A64E18"/>
    <w:rsid w:val="00A70B9A"/>
    <w:rsid w:val="00A723DA"/>
    <w:rsid w:val="00A74B31"/>
    <w:rsid w:val="00A75C98"/>
    <w:rsid w:val="00A768EC"/>
    <w:rsid w:val="00A8119B"/>
    <w:rsid w:val="00A82B43"/>
    <w:rsid w:val="00A83D4C"/>
    <w:rsid w:val="00A86CEA"/>
    <w:rsid w:val="00AA79CB"/>
    <w:rsid w:val="00AB43D2"/>
    <w:rsid w:val="00AB5DE6"/>
    <w:rsid w:val="00AD1CBA"/>
    <w:rsid w:val="00AD1CDE"/>
    <w:rsid w:val="00AD7C32"/>
    <w:rsid w:val="00AE2833"/>
    <w:rsid w:val="00AE4AFE"/>
    <w:rsid w:val="00AE6CC8"/>
    <w:rsid w:val="00AE72E7"/>
    <w:rsid w:val="00AF3677"/>
    <w:rsid w:val="00AF5C33"/>
    <w:rsid w:val="00B057F4"/>
    <w:rsid w:val="00B20AC2"/>
    <w:rsid w:val="00B212F9"/>
    <w:rsid w:val="00B266E9"/>
    <w:rsid w:val="00B275AC"/>
    <w:rsid w:val="00B33C23"/>
    <w:rsid w:val="00B41924"/>
    <w:rsid w:val="00B43D3B"/>
    <w:rsid w:val="00B46423"/>
    <w:rsid w:val="00B501CE"/>
    <w:rsid w:val="00B63C71"/>
    <w:rsid w:val="00B651EE"/>
    <w:rsid w:val="00B6539B"/>
    <w:rsid w:val="00B7180F"/>
    <w:rsid w:val="00B834E6"/>
    <w:rsid w:val="00B94E45"/>
    <w:rsid w:val="00B956DD"/>
    <w:rsid w:val="00BC17B5"/>
    <w:rsid w:val="00BC3DC0"/>
    <w:rsid w:val="00BD3B89"/>
    <w:rsid w:val="00BD6AB3"/>
    <w:rsid w:val="00BE0015"/>
    <w:rsid w:val="00BF5C62"/>
    <w:rsid w:val="00C019CF"/>
    <w:rsid w:val="00C06666"/>
    <w:rsid w:val="00C133E2"/>
    <w:rsid w:val="00C14CB8"/>
    <w:rsid w:val="00C20010"/>
    <w:rsid w:val="00C20782"/>
    <w:rsid w:val="00C344D6"/>
    <w:rsid w:val="00C373AD"/>
    <w:rsid w:val="00C62EBE"/>
    <w:rsid w:val="00C665B4"/>
    <w:rsid w:val="00C709A5"/>
    <w:rsid w:val="00C72F05"/>
    <w:rsid w:val="00C744E5"/>
    <w:rsid w:val="00C769B9"/>
    <w:rsid w:val="00C85B48"/>
    <w:rsid w:val="00C87B85"/>
    <w:rsid w:val="00C909B6"/>
    <w:rsid w:val="00CA75EB"/>
    <w:rsid w:val="00CB3E72"/>
    <w:rsid w:val="00CB7E68"/>
    <w:rsid w:val="00CC38AB"/>
    <w:rsid w:val="00CC43F0"/>
    <w:rsid w:val="00CC48FB"/>
    <w:rsid w:val="00CD5BC0"/>
    <w:rsid w:val="00CE0D26"/>
    <w:rsid w:val="00CF0A3D"/>
    <w:rsid w:val="00CF7583"/>
    <w:rsid w:val="00D02762"/>
    <w:rsid w:val="00D06678"/>
    <w:rsid w:val="00D07B6C"/>
    <w:rsid w:val="00D10B9D"/>
    <w:rsid w:val="00D10BE3"/>
    <w:rsid w:val="00D13D3E"/>
    <w:rsid w:val="00D230D3"/>
    <w:rsid w:val="00D27C56"/>
    <w:rsid w:val="00D318BA"/>
    <w:rsid w:val="00D32B04"/>
    <w:rsid w:val="00D3302F"/>
    <w:rsid w:val="00D3764D"/>
    <w:rsid w:val="00D37834"/>
    <w:rsid w:val="00D5197E"/>
    <w:rsid w:val="00D527BC"/>
    <w:rsid w:val="00D53426"/>
    <w:rsid w:val="00D62B3A"/>
    <w:rsid w:val="00D66598"/>
    <w:rsid w:val="00D71CBD"/>
    <w:rsid w:val="00D77837"/>
    <w:rsid w:val="00D900B9"/>
    <w:rsid w:val="00D95D07"/>
    <w:rsid w:val="00D97E7A"/>
    <w:rsid w:val="00DA399F"/>
    <w:rsid w:val="00DA62FE"/>
    <w:rsid w:val="00DA67C9"/>
    <w:rsid w:val="00DB55D4"/>
    <w:rsid w:val="00DC2418"/>
    <w:rsid w:val="00DC2909"/>
    <w:rsid w:val="00DC30C7"/>
    <w:rsid w:val="00DC41AF"/>
    <w:rsid w:val="00DD0737"/>
    <w:rsid w:val="00DD073B"/>
    <w:rsid w:val="00E01B1E"/>
    <w:rsid w:val="00E01CC3"/>
    <w:rsid w:val="00E23A1A"/>
    <w:rsid w:val="00E274B6"/>
    <w:rsid w:val="00E307FF"/>
    <w:rsid w:val="00E30866"/>
    <w:rsid w:val="00E3101B"/>
    <w:rsid w:val="00E32574"/>
    <w:rsid w:val="00E354DA"/>
    <w:rsid w:val="00E4140C"/>
    <w:rsid w:val="00E417A7"/>
    <w:rsid w:val="00E41B66"/>
    <w:rsid w:val="00E42C34"/>
    <w:rsid w:val="00E4786D"/>
    <w:rsid w:val="00E51142"/>
    <w:rsid w:val="00E53D25"/>
    <w:rsid w:val="00E5439C"/>
    <w:rsid w:val="00E61F06"/>
    <w:rsid w:val="00E65199"/>
    <w:rsid w:val="00E672A4"/>
    <w:rsid w:val="00E749F9"/>
    <w:rsid w:val="00E80256"/>
    <w:rsid w:val="00E9343C"/>
    <w:rsid w:val="00EA01D4"/>
    <w:rsid w:val="00EA0B69"/>
    <w:rsid w:val="00EA6AD0"/>
    <w:rsid w:val="00EB2229"/>
    <w:rsid w:val="00EB4F87"/>
    <w:rsid w:val="00EB7279"/>
    <w:rsid w:val="00EC2B85"/>
    <w:rsid w:val="00EC4B6F"/>
    <w:rsid w:val="00EC6FD7"/>
    <w:rsid w:val="00ED2433"/>
    <w:rsid w:val="00EE2AFD"/>
    <w:rsid w:val="00F06B66"/>
    <w:rsid w:val="00F33DE6"/>
    <w:rsid w:val="00F34EDF"/>
    <w:rsid w:val="00F359F9"/>
    <w:rsid w:val="00F41E38"/>
    <w:rsid w:val="00F43B40"/>
    <w:rsid w:val="00F43DE2"/>
    <w:rsid w:val="00F64C91"/>
    <w:rsid w:val="00F66BC4"/>
    <w:rsid w:val="00F71967"/>
    <w:rsid w:val="00F74A8E"/>
    <w:rsid w:val="00F76CA8"/>
    <w:rsid w:val="00F87B73"/>
    <w:rsid w:val="00F93263"/>
    <w:rsid w:val="00F939D1"/>
    <w:rsid w:val="00FA584E"/>
    <w:rsid w:val="00FB4C87"/>
    <w:rsid w:val="00FB6712"/>
    <w:rsid w:val="00FB7E4B"/>
    <w:rsid w:val="00FC1D53"/>
    <w:rsid w:val="00FD2671"/>
    <w:rsid w:val="00FD5410"/>
    <w:rsid w:val="00FD6301"/>
    <w:rsid w:val="00FE0D26"/>
    <w:rsid w:val="00FF1BD8"/>
    <w:rsid w:val="00FF4B0C"/>
    <w:rsid w:val="00FF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54B0EA53"/>
  <w15:docId w15:val="{EFED5E3F-7161-469C-BB13-0729634B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43"/>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 Char1,Header Char2 Char,Header Char Char Char Char,Header Char2 Char Char,Header Char Char Char Char Char,Header Char Char1 Char Char,Header Char1 Char Char Char"/>
    <w:basedOn w:val="Normal"/>
    <w:link w:val="HeaderChar"/>
    <w:rsid w:val="00F06B66"/>
    <w:pPr>
      <w:tabs>
        <w:tab w:val="center" w:pos="4320"/>
        <w:tab w:val="right" w:pos="8640"/>
      </w:tabs>
    </w:pPr>
  </w:style>
  <w:style w:type="table" w:styleId="TableGrid">
    <w:name w:val="Table Grid"/>
    <w:basedOn w:val="TableNormal"/>
    <w:rsid w:val="00F0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6B66"/>
    <w:pPr>
      <w:tabs>
        <w:tab w:val="center" w:pos="4153"/>
        <w:tab w:val="right" w:pos="8306"/>
      </w:tabs>
    </w:pPr>
  </w:style>
  <w:style w:type="character" w:styleId="PageNumber">
    <w:name w:val="page number"/>
    <w:basedOn w:val="DefaultParagraphFont"/>
    <w:rsid w:val="00F06B66"/>
  </w:style>
  <w:style w:type="paragraph" w:customStyle="1" w:styleId="CharCharCharChar">
    <w:name w:val="Char Char Char Char"/>
    <w:basedOn w:val="Normal"/>
    <w:semiHidden/>
    <w:rsid w:val="00F06B66"/>
    <w:pPr>
      <w:spacing w:after="160" w:line="240" w:lineRule="exact"/>
    </w:pPr>
    <w:rPr>
      <w:sz w:val="28"/>
    </w:rPr>
  </w:style>
  <w:style w:type="character" w:customStyle="1" w:styleId="HeaderChar">
    <w:name w:val="Header Char"/>
    <w:aliases w:val="Header Char2 Char1,Header Char1 Char Char,Header Char Char Char Char1,Header Char Char1 Char,Header Char2 Char Char1,Header Char Char Char Char Char1,Header Char2 Char Char Char,Header Char Char Char Char Char Char"/>
    <w:link w:val="Header"/>
    <w:rsid w:val="00F06B66"/>
    <w:rPr>
      <w:rFonts w:ascii="Dutch TL" w:hAnsi="Dutch TL"/>
      <w:sz w:val="24"/>
      <w:lang w:val="lv-LV" w:eastAsia="lv-LV" w:bidi="ar-SA"/>
    </w:rPr>
  </w:style>
  <w:style w:type="character" w:styleId="CommentReference">
    <w:name w:val="annotation reference"/>
    <w:uiPriority w:val="99"/>
    <w:rsid w:val="004754A3"/>
    <w:rPr>
      <w:sz w:val="16"/>
      <w:szCs w:val="16"/>
    </w:rPr>
  </w:style>
  <w:style w:type="paragraph" w:styleId="CommentText">
    <w:name w:val="annotation text"/>
    <w:basedOn w:val="Normal"/>
    <w:link w:val="CommentTextChar"/>
    <w:uiPriority w:val="99"/>
    <w:rsid w:val="004754A3"/>
    <w:rPr>
      <w:sz w:val="20"/>
    </w:rPr>
  </w:style>
  <w:style w:type="paragraph" w:styleId="CommentSubject">
    <w:name w:val="annotation subject"/>
    <w:basedOn w:val="CommentText"/>
    <w:next w:val="CommentText"/>
    <w:semiHidden/>
    <w:rsid w:val="004754A3"/>
    <w:rPr>
      <w:b/>
      <w:bCs/>
    </w:rPr>
  </w:style>
  <w:style w:type="paragraph" w:styleId="BalloonText">
    <w:name w:val="Balloon Text"/>
    <w:basedOn w:val="Normal"/>
    <w:semiHidden/>
    <w:rsid w:val="004754A3"/>
    <w:rPr>
      <w:rFonts w:ascii="Tahoma" w:hAnsi="Tahoma" w:cs="Tahoma"/>
      <w:sz w:val="16"/>
      <w:szCs w:val="16"/>
    </w:rPr>
  </w:style>
  <w:style w:type="character" w:customStyle="1" w:styleId="FooterChar">
    <w:name w:val="Footer Char"/>
    <w:link w:val="Footer"/>
    <w:uiPriority w:val="99"/>
    <w:rsid w:val="00BC17B5"/>
    <w:rPr>
      <w:rFonts w:ascii="Dutch TL" w:hAnsi="Dutch TL"/>
      <w:sz w:val="24"/>
    </w:rPr>
  </w:style>
  <w:style w:type="paragraph" w:styleId="BodyTextIndent3">
    <w:name w:val="Body Text Indent 3"/>
    <w:basedOn w:val="Normal"/>
    <w:link w:val="BodyTextIndent3Char"/>
    <w:rsid w:val="00703356"/>
    <w:pPr>
      <w:widowControl w:val="0"/>
      <w:ind w:firstLine="426"/>
      <w:jc w:val="both"/>
    </w:pPr>
    <w:rPr>
      <w:rFonts w:ascii="Times New Roman" w:hAnsi="Times New Roman"/>
      <w:lang w:eastAsia="en-US"/>
    </w:rPr>
  </w:style>
  <w:style w:type="character" w:customStyle="1" w:styleId="BodyTextIndent3Char">
    <w:name w:val="Body Text Indent 3 Char"/>
    <w:link w:val="BodyTextIndent3"/>
    <w:rsid w:val="00703356"/>
    <w:rPr>
      <w:sz w:val="24"/>
      <w:lang w:eastAsia="en-US"/>
    </w:rPr>
  </w:style>
  <w:style w:type="character" w:customStyle="1" w:styleId="ListParagraphChar">
    <w:name w:val="List Paragraph Char"/>
    <w:aliases w:val="2 Char,Strip Char,H&amp;P List Paragraph Char"/>
    <w:link w:val="ListParagraph"/>
    <w:uiPriority w:val="34"/>
    <w:locked/>
    <w:rsid w:val="0012026D"/>
    <w:rPr>
      <w:rFonts w:ascii="Calibri" w:hAnsi="Calibri"/>
    </w:rPr>
  </w:style>
  <w:style w:type="paragraph" w:styleId="ListParagraph">
    <w:name w:val="List Paragraph"/>
    <w:aliases w:val="2,Strip,H&amp;P List Paragraph"/>
    <w:basedOn w:val="Normal"/>
    <w:link w:val="ListParagraphChar"/>
    <w:uiPriority w:val="34"/>
    <w:qFormat/>
    <w:rsid w:val="0012026D"/>
    <w:pPr>
      <w:spacing w:after="200" w:line="276" w:lineRule="auto"/>
      <w:ind w:left="720"/>
      <w:contextualSpacing/>
    </w:pPr>
    <w:rPr>
      <w:rFonts w:ascii="Calibri" w:hAnsi="Calibri"/>
      <w:sz w:val="20"/>
    </w:rPr>
  </w:style>
  <w:style w:type="character" w:customStyle="1" w:styleId="CommentTextChar">
    <w:name w:val="Comment Text Char"/>
    <w:link w:val="CommentText"/>
    <w:uiPriority w:val="99"/>
    <w:locked/>
    <w:rsid w:val="0012026D"/>
    <w:rPr>
      <w:rFonts w:ascii="Dutch TL" w:hAnsi="Dutch TL"/>
    </w:rPr>
  </w:style>
  <w:style w:type="paragraph" w:styleId="BodyTextIndent2">
    <w:name w:val="Body Text Indent 2"/>
    <w:basedOn w:val="Normal"/>
    <w:link w:val="BodyTextIndent2Char"/>
    <w:rsid w:val="008E628C"/>
    <w:pPr>
      <w:spacing w:after="120" w:line="480" w:lineRule="auto"/>
      <w:ind w:left="283"/>
    </w:pPr>
  </w:style>
  <w:style w:type="character" w:customStyle="1" w:styleId="BodyTextIndent2Char">
    <w:name w:val="Body Text Indent 2 Char"/>
    <w:basedOn w:val="DefaultParagraphFont"/>
    <w:link w:val="BodyTextIndent2"/>
    <w:rsid w:val="008E628C"/>
    <w:rPr>
      <w:rFonts w:ascii="Dutch TL" w:hAnsi="Dutch TL"/>
      <w:sz w:val="24"/>
    </w:rPr>
  </w:style>
  <w:style w:type="table" w:customStyle="1" w:styleId="TableGrid1">
    <w:name w:val="Table Grid1"/>
    <w:basedOn w:val="TableNormal"/>
    <w:next w:val="TableGrid"/>
    <w:uiPriority w:val="99"/>
    <w:rsid w:val="005B6DC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8">
    <w:name w:val="Style18"/>
    <w:uiPriority w:val="99"/>
    <w:rsid w:val="00D900B9"/>
    <w:pPr>
      <w:numPr>
        <w:numId w:val="27"/>
      </w:numPr>
    </w:pPr>
  </w:style>
  <w:style w:type="character" w:customStyle="1" w:styleId="apple-converted-space">
    <w:name w:val="apple-converted-space"/>
    <w:basedOn w:val="DefaultParagraphFont"/>
    <w:rsid w:val="003B06D5"/>
  </w:style>
  <w:style w:type="paragraph" w:styleId="FootnoteText">
    <w:name w:val="footnote text"/>
    <w:basedOn w:val="Normal"/>
    <w:link w:val="FootnoteTextChar"/>
    <w:uiPriority w:val="99"/>
    <w:rsid w:val="007142EF"/>
    <w:rPr>
      <w:rFonts w:ascii="Times New Roman" w:hAnsi="Times New Roman"/>
      <w:sz w:val="20"/>
      <w:lang w:val="en-GB"/>
    </w:rPr>
  </w:style>
  <w:style w:type="character" w:customStyle="1" w:styleId="FootnoteTextChar">
    <w:name w:val="Footnote Text Char"/>
    <w:basedOn w:val="DefaultParagraphFont"/>
    <w:link w:val="FootnoteText"/>
    <w:uiPriority w:val="99"/>
    <w:rsid w:val="007142EF"/>
    <w:rPr>
      <w:lang w:val="en-GB"/>
    </w:rPr>
  </w:style>
  <w:style w:type="character" w:styleId="FootnoteReference">
    <w:name w:val="footnote reference"/>
    <w:uiPriority w:val="99"/>
    <w:rsid w:val="007142EF"/>
    <w:rPr>
      <w:vertAlign w:val="superscript"/>
    </w:rPr>
  </w:style>
  <w:style w:type="paragraph" w:styleId="HTMLPreformatted">
    <w:name w:val="HTML Preformatted"/>
    <w:basedOn w:val="Normal"/>
    <w:link w:val="HTMLPreformattedChar"/>
    <w:unhideWhenUsed/>
    <w:rsid w:val="00C133E2"/>
    <w:rPr>
      <w:rFonts w:ascii="Consolas" w:hAnsi="Consolas" w:cs="Consolas"/>
      <w:sz w:val="20"/>
    </w:rPr>
  </w:style>
  <w:style w:type="character" w:customStyle="1" w:styleId="HTMLPreformattedChar">
    <w:name w:val="HTML Preformatted Char"/>
    <w:basedOn w:val="DefaultParagraphFont"/>
    <w:link w:val="HTMLPreformatted"/>
    <w:rsid w:val="00C133E2"/>
    <w:rPr>
      <w:rFonts w:ascii="Consolas" w:hAnsi="Consolas" w:cs="Consolas"/>
    </w:rPr>
  </w:style>
  <w:style w:type="character" w:customStyle="1" w:styleId="tlid-translation">
    <w:name w:val="tlid-translation"/>
    <w:basedOn w:val="DefaultParagraphFont"/>
    <w:rsid w:val="0046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4803">
      <w:bodyDiv w:val="1"/>
      <w:marLeft w:val="0"/>
      <w:marRight w:val="0"/>
      <w:marTop w:val="0"/>
      <w:marBottom w:val="0"/>
      <w:divBdr>
        <w:top w:val="none" w:sz="0" w:space="0" w:color="auto"/>
        <w:left w:val="none" w:sz="0" w:space="0" w:color="auto"/>
        <w:bottom w:val="none" w:sz="0" w:space="0" w:color="auto"/>
        <w:right w:val="none" w:sz="0" w:space="0" w:color="auto"/>
      </w:divBdr>
    </w:div>
    <w:div w:id="682905238">
      <w:bodyDiv w:val="1"/>
      <w:marLeft w:val="0"/>
      <w:marRight w:val="0"/>
      <w:marTop w:val="0"/>
      <w:marBottom w:val="0"/>
      <w:divBdr>
        <w:top w:val="none" w:sz="0" w:space="0" w:color="auto"/>
        <w:left w:val="none" w:sz="0" w:space="0" w:color="auto"/>
        <w:bottom w:val="none" w:sz="0" w:space="0" w:color="auto"/>
        <w:right w:val="none" w:sz="0" w:space="0" w:color="auto"/>
      </w:divBdr>
      <w:divsChild>
        <w:div w:id="19861740">
          <w:marLeft w:val="0"/>
          <w:marRight w:val="0"/>
          <w:marTop w:val="0"/>
          <w:marBottom w:val="0"/>
          <w:divBdr>
            <w:top w:val="none" w:sz="0" w:space="0" w:color="auto"/>
            <w:left w:val="none" w:sz="0" w:space="0" w:color="auto"/>
            <w:bottom w:val="none" w:sz="0" w:space="0" w:color="auto"/>
            <w:right w:val="none" w:sz="0" w:space="0" w:color="auto"/>
          </w:divBdr>
        </w:div>
      </w:divsChild>
    </w:div>
    <w:div w:id="1019354703">
      <w:bodyDiv w:val="1"/>
      <w:marLeft w:val="0"/>
      <w:marRight w:val="0"/>
      <w:marTop w:val="0"/>
      <w:marBottom w:val="0"/>
      <w:divBdr>
        <w:top w:val="none" w:sz="0" w:space="0" w:color="auto"/>
        <w:left w:val="none" w:sz="0" w:space="0" w:color="auto"/>
        <w:bottom w:val="none" w:sz="0" w:space="0" w:color="auto"/>
        <w:right w:val="none" w:sz="0" w:space="0" w:color="auto"/>
      </w:divBdr>
    </w:div>
    <w:div w:id="1522931775">
      <w:bodyDiv w:val="1"/>
      <w:marLeft w:val="0"/>
      <w:marRight w:val="0"/>
      <w:marTop w:val="0"/>
      <w:marBottom w:val="0"/>
      <w:divBdr>
        <w:top w:val="none" w:sz="0" w:space="0" w:color="auto"/>
        <w:left w:val="none" w:sz="0" w:space="0" w:color="auto"/>
        <w:bottom w:val="none" w:sz="0" w:space="0" w:color="auto"/>
        <w:right w:val="none" w:sz="0" w:space="0" w:color="auto"/>
      </w:divBdr>
    </w:div>
    <w:div w:id="1759670650">
      <w:bodyDiv w:val="1"/>
      <w:marLeft w:val="0"/>
      <w:marRight w:val="0"/>
      <w:marTop w:val="0"/>
      <w:marBottom w:val="0"/>
      <w:divBdr>
        <w:top w:val="none" w:sz="0" w:space="0" w:color="auto"/>
        <w:left w:val="none" w:sz="0" w:space="0" w:color="auto"/>
        <w:bottom w:val="none" w:sz="0" w:space="0" w:color="auto"/>
        <w:right w:val="none" w:sz="0" w:space="0" w:color="auto"/>
      </w:divBdr>
    </w:div>
    <w:div w:id="20625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6160F-ADAD-41AB-BD07-E87A918F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4</Pages>
  <Words>7505</Words>
  <Characters>4278</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SARUNU PROCEDŪRA</vt:lpstr>
    </vt:vector>
  </TitlesOfParts>
  <Company>a</Company>
  <LinksUpToDate>false</LinksUpToDate>
  <CharactersWithSpaces>11760</CharactersWithSpaces>
  <SharedDoc>false</SharedDoc>
  <HLinks>
    <vt:vector size="6" baseType="variant">
      <vt:variant>
        <vt:i4>4128882</vt:i4>
      </vt:variant>
      <vt:variant>
        <vt:i4>0</vt:i4>
      </vt:variant>
      <vt:variant>
        <vt:i4>0</vt:i4>
      </vt:variant>
      <vt:variant>
        <vt:i4>5</vt:i4>
      </vt:variant>
      <vt:variant>
        <vt:lpwstr>https://maps.google.lv/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dc:title>
  <dc:subject/>
  <dc:creator>user</dc:creator>
  <cp:keywords/>
  <cp:lastModifiedBy>Marina Imbrasa</cp:lastModifiedBy>
  <cp:revision>107</cp:revision>
  <cp:lastPrinted>2018-11-16T07:05:00Z</cp:lastPrinted>
  <dcterms:created xsi:type="dcterms:W3CDTF">2018-04-04T11:37:00Z</dcterms:created>
  <dcterms:modified xsi:type="dcterms:W3CDTF">2019-03-26T11:59:00Z</dcterms:modified>
</cp:coreProperties>
</file>