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9F" w:rsidRDefault="001936E4" w:rsidP="001936E4">
      <w:pPr>
        <w:jc w:val="center"/>
        <w:rPr>
          <w:b/>
          <w:sz w:val="26"/>
          <w:szCs w:val="26"/>
        </w:rPr>
      </w:pPr>
      <w:r>
        <w:rPr>
          <w:b/>
          <w:sz w:val="26"/>
          <w:szCs w:val="26"/>
        </w:rPr>
        <w:t>Sarunu procedūra</w:t>
      </w:r>
      <w:r w:rsidRPr="002A52EA">
        <w:rPr>
          <w:b/>
          <w:sz w:val="26"/>
          <w:szCs w:val="26"/>
        </w:rPr>
        <w:t xml:space="preserve"> </w:t>
      </w:r>
    </w:p>
    <w:p w:rsidR="001936E4" w:rsidRDefault="001936E4" w:rsidP="001936E4">
      <w:pPr>
        <w:jc w:val="center"/>
        <w:rPr>
          <w:b/>
          <w:sz w:val="26"/>
          <w:szCs w:val="26"/>
        </w:rPr>
      </w:pPr>
      <w:r w:rsidRPr="002A52EA">
        <w:rPr>
          <w:b/>
          <w:sz w:val="26"/>
          <w:szCs w:val="26"/>
        </w:rPr>
        <w:t>„</w:t>
      </w:r>
      <w:r w:rsidRPr="001936E4">
        <w:rPr>
          <w:b/>
          <w:bCs/>
          <w:sz w:val="26"/>
          <w:szCs w:val="26"/>
        </w:rPr>
        <w:t xml:space="preserve">Lidlauka gaisa telpas novērošanas un kontroles radara ar </w:t>
      </w:r>
      <w:proofErr w:type="spellStart"/>
      <w:r w:rsidRPr="001936E4">
        <w:rPr>
          <w:b/>
          <w:bCs/>
          <w:sz w:val="26"/>
          <w:szCs w:val="26"/>
        </w:rPr>
        <w:t>multilaterālo</w:t>
      </w:r>
      <w:proofErr w:type="spellEnd"/>
      <w:r w:rsidRPr="001936E4">
        <w:rPr>
          <w:b/>
          <w:bCs/>
          <w:sz w:val="26"/>
          <w:szCs w:val="26"/>
        </w:rPr>
        <w:t xml:space="preserve"> sistēmu un militāro ziņojumu piegādes sistēmu (ASR, MMHS, MLAT) piegāde un uzstādīšana</w:t>
      </w:r>
      <w:r w:rsidRPr="002A52EA">
        <w:rPr>
          <w:b/>
          <w:sz w:val="26"/>
          <w:szCs w:val="26"/>
        </w:rPr>
        <w:t xml:space="preserve">”, </w:t>
      </w:r>
    </w:p>
    <w:p w:rsidR="001936E4" w:rsidRDefault="001936E4" w:rsidP="001936E4">
      <w:pPr>
        <w:jc w:val="center"/>
        <w:rPr>
          <w:b/>
          <w:sz w:val="26"/>
          <w:szCs w:val="26"/>
        </w:rPr>
      </w:pPr>
      <w:r w:rsidRPr="002A52EA">
        <w:rPr>
          <w:b/>
          <w:sz w:val="26"/>
          <w:szCs w:val="26"/>
        </w:rPr>
        <w:t>identifikācijas Nr. VAMOIC 201</w:t>
      </w:r>
      <w:r>
        <w:rPr>
          <w:b/>
          <w:sz w:val="26"/>
          <w:szCs w:val="26"/>
        </w:rPr>
        <w:t>8</w:t>
      </w:r>
      <w:r w:rsidRPr="002A52EA">
        <w:rPr>
          <w:b/>
          <w:sz w:val="26"/>
          <w:szCs w:val="26"/>
        </w:rPr>
        <w:t>/</w:t>
      </w:r>
      <w:r>
        <w:rPr>
          <w:b/>
          <w:sz w:val="26"/>
          <w:szCs w:val="26"/>
        </w:rPr>
        <w:t>08</w:t>
      </w:r>
      <w:r>
        <w:rPr>
          <w:b/>
          <w:sz w:val="26"/>
          <w:szCs w:val="26"/>
        </w:rPr>
        <w:t>0</w:t>
      </w:r>
      <w:r w:rsidRPr="002A52EA">
        <w:rPr>
          <w:b/>
          <w:sz w:val="26"/>
          <w:szCs w:val="26"/>
        </w:rPr>
        <w:t xml:space="preserve">, komisijas </w:t>
      </w:r>
      <w:r>
        <w:rPr>
          <w:b/>
          <w:sz w:val="26"/>
          <w:szCs w:val="26"/>
        </w:rPr>
        <w:t>19</w:t>
      </w:r>
      <w:r>
        <w:rPr>
          <w:b/>
          <w:sz w:val="26"/>
          <w:szCs w:val="26"/>
        </w:rPr>
        <w:t>.0</w:t>
      </w:r>
      <w:r>
        <w:rPr>
          <w:b/>
          <w:sz w:val="26"/>
          <w:szCs w:val="26"/>
        </w:rPr>
        <w:t>6.2018</w:t>
      </w:r>
      <w:r w:rsidRPr="002A52EA">
        <w:rPr>
          <w:b/>
          <w:sz w:val="26"/>
          <w:szCs w:val="26"/>
        </w:rPr>
        <w:t>. komisijas sēdē sagatavotā</w:t>
      </w:r>
      <w:r>
        <w:rPr>
          <w:b/>
          <w:sz w:val="26"/>
          <w:szCs w:val="26"/>
        </w:rPr>
        <w:t>s</w:t>
      </w:r>
      <w:r w:rsidRPr="002A52EA">
        <w:rPr>
          <w:b/>
          <w:sz w:val="26"/>
          <w:szCs w:val="26"/>
        </w:rPr>
        <w:t xml:space="preserve"> atbilde</w:t>
      </w:r>
      <w:r>
        <w:rPr>
          <w:b/>
          <w:sz w:val="26"/>
          <w:szCs w:val="26"/>
        </w:rPr>
        <w:t>s</w:t>
      </w:r>
      <w:r w:rsidRPr="002A52EA">
        <w:rPr>
          <w:b/>
          <w:sz w:val="26"/>
          <w:szCs w:val="26"/>
        </w:rPr>
        <w:t xml:space="preserve"> uz ieinteresēt</w:t>
      </w:r>
      <w:r w:rsidR="00AD44AA">
        <w:rPr>
          <w:b/>
          <w:sz w:val="26"/>
          <w:szCs w:val="26"/>
        </w:rPr>
        <w:t>o</w:t>
      </w:r>
      <w:r w:rsidRPr="002A52EA">
        <w:rPr>
          <w:b/>
          <w:sz w:val="26"/>
          <w:szCs w:val="26"/>
        </w:rPr>
        <w:t xml:space="preserve"> piegādātāj</w:t>
      </w:r>
      <w:r w:rsidR="00AD44AA">
        <w:rPr>
          <w:b/>
          <w:sz w:val="26"/>
          <w:szCs w:val="26"/>
        </w:rPr>
        <w:t>u</w:t>
      </w:r>
      <w:bookmarkStart w:id="0" w:name="_GoBack"/>
      <w:bookmarkEnd w:id="0"/>
      <w:r>
        <w:rPr>
          <w:b/>
          <w:sz w:val="26"/>
          <w:szCs w:val="26"/>
        </w:rPr>
        <w:t xml:space="preserve"> iesniegtajiem jautājumiem</w:t>
      </w:r>
    </w:p>
    <w:p w:rsidR="001936E4" w:rsidRPr="001936E4" w:rsidRDefault="001936E4" w:rsidP="001936E4">
      <w:pPr>
        <w:jc w:val="center"/>
        <w:rPr>
          <w:b/>
          <w:sz w:val="26"/>
          <w:szCs w:val="26"/>
        </w:rPr>
      </w:pPr>
    </w:p>
    <w:p w:rsidR="001936E4" w:rsidRPr="001759F6" w:rsidRDefault="001936E4" w:rsidP="001936E4">
      <w:pPr>
        <w:jc w:val="both"/>
        <w:rPr>
          <w:b/>
          <w:sz w:val="24"/>
          <w:szCs w:val="24"/>
        </w:rPr>
      </w:pPr>
      <w:r w:rsidRPr="001759F6">
        <w:rPr>
          <w:b/>
          <w:sz w:val="24"/>
          <w:szCs w:val="24"/>
        </w:rPr>
        <w:t>Jautājums Nr.1:</w:t>
      </w:r>
    </w:p>
    <w:p w:rsidR="001936E4" w:rsidRPr="000B2EBF" w:rsidRDefault="001936E4" w:rsidP="001936E4">
      <w:pPr>
        <w:numPr>
          <w:ilvl w:val="0"/>
          <w:numId w:val="1"/>
        </w:numPr>
        <w:jc w:val="both"/>
        <w:rPr>
          <w:sz w:val="24"/>
          <w:szCs w:val="24"/>
        </w:rPr>
      </w:pPr>
      <w:r w:rsidRPr="000B2EBF">
        <w:rPr>
          <w:sz w:val="24"/>
          <w:szCs w:val="24"/>
        </w:rPr>
        <w:t xml:space="preserve">Vai 3.4. punktā minēto atbildīgā būvprojekta vadītāja un atbildīgā </w:t>
      </w:r>
      <w:proofErr w:type="spellStart"/>
      <w:r w:rsidRPr="000B2EBF">
        <w:rPr>
          <w:sz w:val="24"/>
          <w:szCs w:val="24"/>
        </w:rPr>
        <w:t>autoruzrauga</w:t>
      </w:r>
      <w:proofErr w:type="spellEnd"/>
      <w:r w:rsidRPr="000B2EBF">
        <w:rPr>
          <w:sz w:val="24"/>
          <w:szCs w:val="24"/>
        </w:rPr>
        <w:t xml:space="preserve"> pozīciju drīkst izpildīt viens speciālists?</w:t>
      </w:r>
    </w:p>
    <w:p w:rsidR="001936E4" w:rsidRDefault="001936E4" w:rsidP="001936E4">
      <w:pPr>
        <w:jc w:val="both"/>
        <w:rPr>
          <w:b/>
          <w:sz w:val="24"/>
          <w:szCs w:val="24"/>
        </w:rPr>
      </w:pPr>
      <w:r>
        <w:rPr>
          <w:b/>
          <w:sz w:val="24"/>
          <w:szCs w:val="24"/>
        </w:rPr>
        <w:t>Atbilde:</w:t>
      </w:r>
    </w:p>
    <w:p w:rsidR="001936E4" w:rsidRDefault="001936E4" w:rsidP="001936E4">
      <w:pPr>
        <w:jc w:val="both"/>
        <w:rPr>
          <w:b/>
          <w:sz w:val="24"/>
          <w:szCs w:val="24"/>
        </w:rPr>
      </w:pPr>
      <w:r w:rsidRPr="0086664E">
        <w:rPr>
          <w:sz w:val="24"/>
          <w:szCs w:val="24"/>
        </w:rPr>
        <w:t xml:space="preserve">Jā, atbildīgā būvprojekta vadītājs un atbildīgā </w:t>
      </w:r>
      <w:proofErr w:type="spellStart"/>
      <w:r w:rsidRPr="0086664E">
        <w:rPr>
          <w:sz w:val="24"/>
          <w:szCs w:val="24"/>
        </w:rPr>
        <w:t>autoruzrauga</w:t>
      </w:r>
      <w:proofErr w:type="spellEnd"/>
      <w:r w:rsidRPr="0086664E">
        <w:rPr>
          <w:sz w:val="24"/>
          <w:szCs w:val="24"/>
        </w:rPr>
        <w:t xml:space="preserve"> pozīciju drīkst izpildīt viens</w:t>
      </w:r>
      <w:r w:rsidRPr="000B2EBF">
        <w:rPr>
          <w:sz w:val="24"/>
          <w:szCs w:val="24"/>
        </w:rPr>
        <w:t xml:space="preserve"> speciālists</w:t>
      </w:r>
      <w:r>
        <w:rPr>
          <w:sz w:val="24"/>
          <w:szCs w:val="24"/>
        </w:rPr>
        <w:t>.</w:t>
      </w:r>
    </w:p>
    <w:p w:rsidR="001936E4" w:rsidRDefault="001936E4" w:rsidP="001936E4">
      <w:pPr>
        <w:jc w:val="both"/>
        <w:rPr>
          <w:b/>
          <w:sz w:val="24"/>
          <w:szCs w:val="24"/>
        </w:rPr>
      </w:pPr>
    </w:p>
    <w:p w:rsidR="001936E4" w:rsidRPr="001759F6" w:rsidRDefault="001936E4" w:rsidP="001936E4">
      <w:pPr>
        <w:jc w:val="both"/>
        <w:rPr>
          <w:b/>
          <w:sz w:val="24"/>
          <w:szCs w:val="24"/>
        </w:rPr>
      </w:pPr>
      <w:r w:rsidRPr="001759F6">
        <w:rPr>
          <w:b/>
          <w:sz w:val="24"/>
          <w:szCs w:val="24"/>
        </w:rPr>
        <w:t>Jautāj</w:t>
      </w:r>
      <w:r>
        <w:rPr>
          <w:b/>
          <w:sz w:val="24"/>
          <w:szCs w:val="24"/>
        </w:rPr>
        <w:t>ums Nr.2</w:t>
      </w:r>
      <w:r w:rsidRPr="001759F6">
        <w:rPr>
          <w:b/>
          <w:sz w:val="24"/>
          <w:szCs w:val="24"/>
        </w:rPr>
        <w:t>:</w:t>
      </w:r>
    </w:p>
    <w:p w:rsidR="001936E4" w:rsidRDefault="001936E4" w:rsidP="001936E4">
      <w:pPr>
        <w:numPr>
          <w:ilvl w:val="0"/>
          <w:numId w:val="1"/>
        </w:numPr>
        <w:jc w:val="both"/>
        <w:rPr>
          <w:sz w:val="24"/>
          <w:szCs w:val="24"/>
        </w:rPr>
      </w:pPr>
      <w:r w:rsidRPr="000B2EBF">
        <w:rPr>
          <w:sz w:val="24"/>
          <w:szCs w:val="24"/>
        </w:rPr>
        <w:t>vai viena persona,  </w:t>
      </w:r>
      <w:r w:rsidR="00AF0602" w:rsidRPr="000B2EBF">
        <w:rPr>
          <w:sz w:val="24"/>
          <w:szCs w:val="24"/>
        </w:rPr>
        <w:t>var būt</w:t>
      </w:r>
      <w:r w:rsidR="00AF0602" w:rsidRPr="000B2EBF">
        <w:rPr>
          <w:sz w:val="24"/>
          <w:szCs w:val="24"/>
        </w:rPr>
        <w:t xml:space="preserve"> </w:t>
      </w:r>
      <w:r w:rsidRPr="000B2EBF">
        <w:rPr>
          <w:sz w:val="24"/>
          <w:szCs w:val="24"/>
        </w:rPr>
        <w:t xml:space="preserve">vienlaicīgi gan atbildīgais būvprojekta vadītājs, atbildīgais </w:t>
      </w:r>
      <w:proofErr w:type="spellStart"/>
      <w:r w:rsidRPr="000B2EBF">
        <w:rPr>
          <w:sz w:val="24"/>
          <w:szCs w:val="24"/>
        </w:rPr>
        <w:t>autoruzraugs</w:t>
      </w:r>
      <w:proofErr w:type="spellEnd"/>
      <w:r w:rsidRPr="000B2EBF">
        <w:rPr>
          <w:sz w:val="24"/>
          <w:szCs w:val="24"/>
        </w:rPr>
        <w:t xml:space="preserve"> un speciālists, kuram  ir arhitekta prakse (3.4.1. punkts nolikumā)?</w:t>
      </w:r>
    </w:p>
    <w:p w:rsidR="001936E4" w:rsidRDefault="001936E4" w:rsidP="001936E4">
      <w:pPr>
        <w:jc w:val="both"/>
        <w:rPr>
          <w:b/>
          <w:sz w:val="24"/>
          <w:szCs w:val="24"/>
        </w:rPr>
      </w:pPr>
      <w:r>
        <w:rPr>
          <w:b/>
          <w:sz w:val="24"/>
          <w:szCs w:val="24"/>
        </w:rPr>
        <w:t>Atbilde:</w:t>
      </w:r>
    </w:p>
    <w:p w:rsidR="001936E4" w:rsidRPr="001716FC" w:rsidRDefault="001936E4" w:rsidP="001936E4">
      <w:pPr>
        <w:jc w:val="both"/>
        <w:rPr>
          <w:sz w:val="24"/>
          <w:szCs w:val="24"/>
        </w:rPr>
      </w:pPr>
      <w:r w:rsidRPr="001716FC">
        <w:rPr>
          <w:sz w:val="24"/>
          <w:szCs w:val="24"/>
        </w:rPr>
        <w:t xml:space="preserve">Jā, </w:t>
      </w:r>
      <w:r>
        <w:rPr>
          <w:sz w:val="24"/>
          <w:szCs w:val="24"/>
        </w:rPr>
        <w:t xml:space="preserve">viena </w:t>
      </w:r>
      <w:r w:rsidRPr="000B2EBF">
        <w:rPr>
          <w:sz w:val="24"/>
          <w:szCs w:val="24"/>
        </w:rPr>
        <w:t>persona,  </w:t>
      </w:r>
      <w:r w:rsidR="00AF0602" w:rsidRPr="000B2EBF">
        <w:rPr>
          <w:sz w:val="24"/>
          <w:szCs w:val="24"/>
        </w:rPr>
        <w:t>var</w:t>
      </w:r>
      <w:r w:rsidR="00AF0602" w:rsidRPr="000B2EBF">
        <w:rPr>
          <w:sz w:val="24"/>
          <w:szCs w:val="24"/>
        </w:rPr>
        <w:t xml:space="preserve"> </w:t>
      </w:r>
      <w:r w:rsidR="00AF0602" w:rsidRPr="000B2EBF">
        <w:rPr>
          <w:sz w:val="24"/>
          <w:szCs w:val="24"/>
        </w:rPr>
        <w:t>būt</w:t>
      </w:r>
      <w:r w:rsidR="00AF0602" w:rsidRPr="000B2EBF">
        <w:rPr>
          <w:sz w:val="24"/>
          <w:szCs w:val="24"/>
        </w:rPr>
        <w:t xml:space="preserve"> </w:t>
      </w:r>
      <w:r w:rsidRPr="000B2EBF">
        <w:rPr>
          <w:sz w:val="24"/>
          <w:szCs w:val="24"/>
        </w:rPr>
        <w:t xml:space="preserve">vienlaicīgi gan atbildīgais būvprojekta vadītājs, atbildīgais </w:t>
      </w:r>
      <w:proofErr w:type="spellStart"/>
      <w:r w:rsidRPr="000B2EBF">
        <w:rPr>
          <w:sz w:val="24"/>
          <w:szCs w:val="24"/>
        </w:rPr>
        <w:t>autoruzraugs</w:t>
      </w:r>
      <w:proofErr w:type="spellEnd"/>
      <w:r w:rsidRPr="000B2EBF">
        <w:rPr>
          <w:sz w:val="24"/>
          <w:szCs w:val="24"/>
        </w:rPr>
        <w:t xml:space="preserve"> un speciālists, kuram  ir arhitekta prakse</w:t>
      </w:r>
      <w:r>
        <w:rPr>
          <w:sz w:val="24"/>
          <w:szCs w:val="24"/>
        </w:rPr>
        <w:t>.</w:t>
      </w:r>
    </w:p>
    <w:p w:rsidR="001936E4" w:rsidRDefault="001936E4" w:rsidP="001936E4">
      <w:pPr>
        <w:jc w:val="both"/>
        <w:rPr>
          <w:b/>
          <w:sz w:val="24"/>
          <w:szCs w:val="24"/>
        </w:rPr>
      </w:pPr>
    </w:p>
    <w:p w:rsidR="001936E4" w:rsidRPr="001759F6" w:rsidRDefault="001936E4" w:rsidP="001936E4">
      <w:pPr>
        <w:jc w:val="both"/>
        <w:rPr>
          <w:b/>
          <w:sz w:val="24"/>
          <w:szCs w:val="24"/>
        </w:rPr>
      </w:pPr>
      <w:r w:rsidRPr="001759F6">
        <w:rPr>
          <w:b/>
          <w:sz w:val="24"/>
          <w:szCs w:val="24"/>
        </w:rPr>
        <w:t>Jautājums Nr.</w:t>
      </w:r>
      <w:r>
        <w:rPr>
          <w:b/>
          <w:sz w:val="24"/>
          <w:szCs w:val="24"/>
        </w:rPr>
        <w:t>3</w:t>
      </w:r>
      <w:r w:rsidRPr="001759F6">
        <w:rPr>
          <w:b/>
          <w:sz w:val="24"/>
          <w:szCs w:val="24"/>
        </w:rPr>
        <w:t>:</w:t>
      </w:r>
    </w:p>
    <w:p w:rsidR="001936E4" w:rsidRPr="000B2EBF" w:rsidRDefault="001936E4" w:rsidP="001936E4">
      <w:pPr>
        <w:numPr>
          <w:ilvl w:val="0"/>
          <w:numId w:val="1"/>
        </w:numPr>
        <w:jc w:val="both"/>
        <w:rPr>
          <w:sz w:val="24"/>
          <w:szCs w:val="24"/>
        </w:rPr>
      </w:pPr>
      <w:r w:rsidRPr="000B2EBF">
        <w:rPr>
          <w:sz w:val="24"/>
          <w:szCs w:val="24"/>
        </w:rPr>
        <w:t>Kā arī to vai  persona, kurai ir sertifikāts ēku būvdarbu v</w:t>
      </w:r>
      <w:r>
        <w:rPr>
          <w:sz w:val="24"/>
          <w:szCs w:val="24"/>
        </w:rPr>
        <w:t>a</w:t>
      </w:r>
      <w:r w:rsidRPr="000B2EBF">
        <w:rPr>
          <w:sz w:val="24"/>
          <w:szCs w:val="24"/>
        </w:rPr>
        <w:t xml:space="preserve">dīšanā (3.4.5. punkts nolikumā) var </w:t>
      </w:r>
      <w:r w:rsidR="00AF0602" w:rsidRPr="000B2EBF">
        <w:rPr>
          <w:sz w:val="24"/>
          <w:szCs w:val="24"/>
        </w:rPr>
        <w:t>tikt</w:t>
      </w:r>
      <w:r w:rsidR="00AF0602" w:rsidRPr="000B2EBF">
        <w:rPr>
          <w:sz w:val="24"/>
          <w:szCs w:val="24"/>
        </w:rPr>
        <w:t xml:space="preserve"> </w:t>
      </w:r>
      <w:r w:rsidRPr="000B2EBF">
        <w:rPr>
          <w:sz w:val="24"/>
          <w:szCs w:val="24"/>
        </w:rPr>
        <w:t>vienlaicīgi norādīta kā atbildīgais būvdarbu vadītājs?</w:t>
      </w:r>
    </w:p>
    <w:p w:rsidR="001936E4" w:rsidRPr="001205E5" w:rsidRDefault="001936E4" w:rsidP="001936E4">
      <w:pPr>
        <w:jc w:val="both"/>
        <w:rPr>
          <w:b/>
          <w:sz w:val="24"/>
          <w:szCs w:val="24"/>
        </w:rPr>
      </w:pPr>
      <w:r w:rsidRPr="001205E5">
        <w:rPr>
          <w:b/>
          <w:sz w:val="24"/>
          <w:szCs w:val="24"/>
        </w:rPr>
        <w:t>Atbilde:</w:t>
      </w:r>
    </w:p>
    <w:p w:rsidR="001936E4" w:rsidRPr="001716FC" w:rsidRDefault="001936E4" w:rsidP="001936E4">
      <w:pPr>
        <w:rPr>
          <w:sz w:val="24"/>
          <w:szCs w:val="24"/>
          <w:lang w:eastAsia="en-US"/>
        </w:rPr>
      </w:pPr>
      <w:r w:rsidRPr="001716FC">
        <w:rPr>
          <w:sz w:val="24"/>
          <w:szCs w:val="24"/>
          <w:lang w:eastAsia="en-US"/>
        </w:rPr>
        <w:t>Nē, nevar. Atbildīgajam būvdarbu vadītājam jābūt sertificētam ceļu būvdarbu vadīšanā.</w:t>
      </w:r>
    </w:p>
    <w:p w:rsidR="001936E4" w:rsidRPr="001759F6" w:rsidRDefault="001936E4" w:rsidP="001936E4">
      <w:pPr>
        <w:jc w:val="both"/>
        <w:rPr>
          <w:sz w:val="24"/>
          <w:szCs w:val="24"/>
        </w:rPr>
      </w:pPr>
    </w:p>
    <w:p w:rsidR="001936E4" w:rsidRPr="001759F6" w:rsidRDefault="001936E4" w:rsidP="001936E4">
      <w:pPr>
        <w:jc w:val="both"/>
        <w:rPr>
          <w:b/>
          <w:sz w:val="24"/>
          <w:szCs w:val="24"/>
        </w:rPr>
      </w:pPr>
      <w:r w:rsidRPr="001759F6">
        <w:rPr>
          <w:b/>
          <w:sz w:val="24"/>
          <w:szCs w:val="24"/>
        </w:rPr>
        <w:t>Jautājums Nr.</w:t>
      </w:r>
      <w:r>
        <w:rPr>
          <w:b/>
          <w:sz w:val="24"/>
          <w:szCs w:val="24"/>
        </w:rPr>
        <w:t>4</w:t>
      </w:r>
      <w:r w:rsidRPr="001759F6">
        <w:rPr>
          <w:b/>
          <w:sz w:val="24"/>
          <w:szCs w:val="24"/>
        </w:rPr>
        <w:t>:</w:t>
      </w:r>
    </w:p>
    <w:p w:rsidR="001936E4" w:rsidRPr="00FA7D8D" w:rsidRDefault="001936E4" w:rsidP="001936E4">
      <w:pPr>
        <w:jc w:val="both"/>
        <w:rPr>
          <w:sz w:val="24"/>
          <w:szCs w:val="24"/>
        </w:rPr>
      </w:pPr>
      <w:r w:rsidRPr="001759F6">
        <w:rPr>
          <w:sz w:val="24"/>
          <w:szCs w:val="24"/>
        </w:rPr>
        <w:t>Iepirkuma nolikuma 4.2.3.3.punktā ir noteikts, ka, ja atti</w:t>
      </w:r>
      <w:r w:rsidR="00A20C9F">
        <w:rPr>
          <w:sz w:val="24"/>
          <w:szCs w:val="24"/>
        </w:rPr>
        <w:t xml:space="preserve">ecināms, kandidātam jāiesniedz </w:t>
      </w:r>
      <w:r w:rsidRPr="001759F6">
        <w:rPr>
          <w:sz w:val="24"/>
          <w:szCs w:val="24"/>
        </w:rPr>
        <w:t xml:space="preserve">Nolikuma 6.4.punktā minētie dokumenti. Savukārt saskaņā ar nolikuma 6.4.2.punktu Kandidāts pats, lai apliecinātu, ka uz to nav attiecināmi 6.2.1. līdz 6.2.7. punktā minētie izslēgšanas gadījumi, </w:t>
      </w:r>
      <w:r w:rsidRPr="001759F6">
        <w:rPr>
          <w:sz w:val="24"/>
          <w:szCs w:val="24"/>
          <w:u w:val="single"/>
        </w:rPr>
        <w:t>pēc pieprasījuma</w:t>
      </w:r>
      <w:r w:rsidRPr="001759F6">
        <w:rPr>
          <w:sz w:val="24"/>
          <w:szCs w:val="24"/>
        </w:rPr>
        <w:t xml:space="preserve"> iesniedz informāciju šādos gadījumos (informācijas iesniegšanas laiks tiek noteikts ne īsāks par 10 darbdienām pēc pieprasījuma nosūtīšanas dienas) par nolikuma 6.2.9.punktā minēto personu, kas </w:t>
      </w:r>
      <w:proofErr w:type="gramStart"/>
      <w:r w:rsidRPr="001759F6">
        <w:rPr>
          <w:sz w:val="24"/>
          <w:szCs w:val="24"/>
        </w:rPr>
        <w:t>reģistrēta vai pastāvīgi</w:t>
      </w:r>
      <w:proofErr w:type="gramEnd"/>
      <w:r w:rsidRPr="001759F6">
        <w:rPr>
          <w:sz w:val="24"/>
          <w:szCs w:val="24"/>
        </w:rPr>
        <w:t xml:space="preserve"> dzīvo ārvalstī, (ja tāda ir), kandidāts</w:t>
      </w:r>
      <w:r w:rsidRPr="00FA7D8D">
        <w:rPr>
          <w:sz w:val="24"/>
          <w:szCs w:val="24"/>
        </w:rPr>
        <w:t xml:space="preserve"> iesniedz attiecīgās kompetentās institūcijas izziņu, kas apliecina, ka uz šajā punktā minētajām personām neattiecas 6.2.1., 6.2.3., 6.2.4., 6.2.5., 6.2.6. un 6.2.7.punktā minētie izslēgšanas gadījumi.</w:t>
      </w:r>
    </w:p>
    <w:p w:rsidR="001936E4" w:rsidRDefault="001936E4" w:rsidP="001936E4">
      <w:pPr>
        <w:jc w:val="both"/>
        <w:rPr>
          <w:sz w:val="24"/>
          <w:szCs w:val="24"/>
          <w:u w:val="single"/>
        </w:rPr>
      </w:pPr>
      <w:r>
        <w:rPr>
          <w:sz w:val="24"/>
          <w:szCs w:val="24"/>
        </w:rPr>
        <w:t>Norādām, ka saskaņā ar</w:t>
      </w:r>
      <w:r>
        <w:t xml:space="preserve"> </w:t>
      </w:r>
      <w:r>
        <w:rPr>
          <w:sz w:val="24"/>
          <w:szCs w:val="24"/>
        </w:rPr>
        <w:t xml:space="preserve">Aizsardzības un drošības jomas iepirkumu likuma </w:t>
      </w:r>
      <w:proofErr w:type="gramStart"/>
      <w:r>
        <w:rPr>
          <w:sz w:val="24"/>
          <w:szCs w:val="24"/>
        </w:rPr>
        <w:t>44.panta</w:t>
      </w:r>
      <w:proofErr w:type="gramEnd"/>
      <w:r>
        <w:rPr>
          <w:sz w:val="24"/>
          <w:szCs w:val="24"/>
        </w:rPr>
        <w:t xml:space="preserve"> astoto daļu, lai pārbaudītu, vai uz [..] šā panta pirmās daļas 9. punktā minēto personu, kas reģistrēta vai pastāvīgi dzīvo ārvalstī, nav attiecināmi šā panta pirmās daļas 1., 3., 4., 5., 6. un 7. punktā noteiktie izslēgšanas nosacījumi, pasūtītājs, izņemot šā panta devītajā daļā minēto gadījumu, </w:t>
      </w:r>
      <w:r>
        <w:rPr>
          <w:sz w:val="24"/>
          <w:szCs w:val="24"/>
          <w:u w:val="single"/>
        </w:rPr>
        <w:t>pieprasa, lai kandidāts vai pretendents iesniedz attiecīgās kompetentās institūcijas izziņu</w:t>
      </w:r>
      <w:r>
        <w:rPr>
          <w:sz w:val="24"/>
          <w:szCs w:val="24"/>
        </w:rPr>
        <w:t xml:space="preserve">, kas apliecina, ka uz [..] šā panta pirmās daļas 9. punktā minēto personu neattiecas šā panta pirmās daļas 1., 3., 4., 5., 6. un 7. punktā minētie gadījumi. Ja par valdes vai padomes locekli, </w:t>
      </w:r>
      <w:proofErr w:type="spellStart"/>
      <w:r>
        <w:rPr>
          <w:sz w:val="24"/>
          <w:szCs w:val="24"/>
        </w:rPr>
        <w:t>pārstāvēttiesīgo</w:t>
      </w:r>
      <w:proofErr w:type="spellEnd"/>
      <w:r>
        <w:rPr>
          <w:sz w:val="24"/>
          <w:szCs w:val="24"/>
        </w:rPr>
        <w:t xml:space="preserve"> personu vai prokūristu, vai personu, kura ir pilnvarota pārstāvēt kandidātu vai pretendentu darbībās, kas saistītas ar filiāli, atbilstoši kandidāta vai pretendenta, vai šā panta pirmās daļas 9. punktā minētās personas reģistrācijas valsts normatīvajiem aktiem nevar būt persona, uz kuru ir attiecināmi šā panta pirmajā daļā noteiktie izslēgšanas nosacījumi, kandidāts vai pretendents ir tiesīgs izziņas vietā iesniegt attiecīgu skaidrojumu. Termiņu </w:t>
      </w:r>
      <w:r>
        <w:rPr>
          <w:sz w:val="24"/>
          <w:szCs w:val="24"/>
        </w:rPr>
        <w:lastRenderedPageBreak/>
        <w:t>skaidrojuma vai izziņas iesniegšanai pasūtītājs nosaka ne īsāku par 10 darbdienām pēc pieprasījuma izsniegšanas vai nosūtīšanas dienas. Ja attiecīgais kandidāts vai pretendents noteiktajā termiņā neiesniedz minēto skaidrojumu vai izziņu, pasūtītājs to izslēdz no dalības iepirkuma procedūrā. Ja pasūtītājs no skaidrojuma negūst pārliecību, ka uz attiecīgajām personām nav attiecināmi šā panta pirmās daļas</w:t>
      </w:r>
      <w:proofErr w:type="gramStart"/>
      <w:r>
        <w:rPr>
          <w:sz w:val="24"/>
          <w:szCs w:val="24"/>
        </w:rPr>
        <w:t xml:space="preserve">  </w:t>
      </w:r>
      <w:proofErr w:type="gramEnd"/>
      <w:r>
        <w:rPr>
          <w:sz w:val="24"/>
          <w:szCs w:val="24"/>
        </w:rPr>
        <w:t>1., 3., 4., 5., 6. un 7. punktā noteiktie izslēgšanas nosacījumi, tas ir tiesīgs pieprasīt, lai par šīm personām tiek iesniegtas kompetento institūciju izziņas.</w:t>
      </w:r>
    </w:p>
    <w:p w:rsidR="001936E4" w:rsidRDefault="001936E4" w:rsidP="001936E4">
      <w:pPr>
        <w:ind w:right="45" w:firstLine="851"/>
        <w:jc w:val="both"/>
        <w:rPr>
          <w:sz w:val="24"/>
          <w:szCs w:val="24"/>
        </w:rPr>
      </w:pPr>
      <w:r>
        <w:rPr>
          <w:sz w:val="24"/>
          <w:szCs w:val="24"/>
        </w:rPr>
        <w:t>Lūdzam Pasūtītāju precizēt vai paskaidrot, vai, Kandidātam piesaistot apakšuzņēmēju no ārvalsts, uz kuras iespējām Kandidāts balstās, iesniedzot Pieteikumu, ir jāiesniedz attiecīgo ārvalstu kompetento iestāžu izsniegtās izziņas, lai attiecīgi izpildītu iepirkuma nolikuma 6.2.1. līdz 6.2.8. punktā minētos nosacījumus par piesaistīto ārvalsts apakšuzņēmēju.</w:t>
      </w:r>
    </w:p>
    <w:p w:rsidR="001936E4" w:rsidRDefault="001936E4" w:rsidP="001936E4">
      <w:pPr>
        <w:ind w:right="45"/>
        <w:jc w:val="both"/>
        <w:rPr>
          <w:rFonts w:asciiTheme="minorHAnsi" w:hAnsiTheme="minorHAnsi" w:cstheme="minorBidi"/>
          <w:sz w:val="24"/>
          <w:szCs w:val="24"/>
        </w:rPr>
      </w:pPr>
    </w:p>
    <w:p w:rsidR="001936E4" w:rsidRPr="001759F6" w:rsidRDefault="001936E4" w:rsidP="001936E4">
      <w:pPr>
        <w:ind w:right="45"/>
        <w:jc w:val="both"/>
        <w:rPr>
          <w:b/>
          <w:sz w:val="24"/>
          <w:szCs w:val="24"/>
        </w:rPr>
      </w:pPr>
      <w:r w:rsidRPr="001759F6">
        <w:rPr>
          <w:b/>
          <w:sz w:val="24"/>
          <w:szCs w:val="24"/>
        </w:rPr>
        <w:t>Atbilde:</w:t>
      </w:r>
    </w:p>
    <w:p w:rsidR="001936E4" w:rsidRPr="00A525BE" w:rsidRDefault="001936E4" w:rsidP="001936E4">
      <w:pPr>
        <w:ind w:right="43"/>
        <w:jc w:val="both"/>
        <w:rPr>
          <w:sz w:val="24"/>
          <w:szCs w:val="24"/>
        </w:rPr>
      </w:pPr>
      <w:r w:rsidRPr="00A525BE">
        <w:rPr>
          <w:sz w:val="24"/>
          <w:szCs w:val="24"/>
        </w:rPr>
        <w:t xml:space="preserve">Kandidātam, piesaistot apakšuzņēmēju no ārvalstīm, uz kura iespējām Kandidāts balstās, iesniedzot Pieteikumu, </w:t>
      </w:r>
      <w:r>
        <w:rPr>
          <w:sz w:val="24"/>
          <w:szCs w:val="24"/>
        </w:rPr>
        <w:t xml:space="preserve">kopējā dokumentu paketē </w:t>
      </w:r>
      <w:r w:rsidRPr="00A525BE">
        <w:rPr>
          <w:sz w:val="24"/>
          <w:szCs w:val="24"/>
        </w:rPr>
        <w:t xml:space="preserve">obligāti </w:t>
      </w:r>
      <w:r w:rsidRPr="00A525BE">
        <w:rPr>
          <w:sz w:val="24"/>
          <w:szCs w:val="24"/>
          <w:u w:val="single"/>
        </w:rPr>
        <w:t>nav</w:t>
      </w:r>
      <w:r w:rsidRPr="00A525BE">
        <w:rPr>
          <w:sz w:val="24"/>
          <w:szCs w:val="24"/>
        </w:rPr>
        <w:t xml:space="preserve"> jāiesniedz attiecīgo ārvalstu kompetento iestāžu izsniegtās izziņas, lai attiecīgi izpildītu sarunu procedūras nolikuma 6.2.1. līdz 6.2.7. punktā minētos nosacījumus par piesaistīto ārvalstu apakšuzņēmēju. Lai pārbaudītu, vai uz kandidātu ir attiecināmi sarunu procedūras nolikuma 6.2.1. līdz 6.2.7</w:t>
      </w:r>
      <w:r>
        <w:rPr>
          <w:sz w:val="24"/>
          <w:szCs w:val="24"/>
        </w:rPr>
        <w:t>. punktā minētie</w:t>
      </w:r>
      <w:r w:rsidRPr="00A525BE">
        <w:rPr>
          <w:sz w:val="24"/>
          <w:szCs w:val="24"/>
        </w:rPr>
        <w:t xml:space="preserve"> izslēgšanas nosacījumi, iepirkuma komisija pieprasa iesniegt </w:t>
      </w:r>
      <w:r w:rsidRPr="001D4B94">
        <w:rPr>
          <w:sz w:val="24"/>
          <w:szCs w:val="24"/>
          <w:u w:val="single"/>
        </w:rPr>
        <w:t>kandidātu atlasi izturējušajiem kandidātiem</w:t>
      </w:r>
      <w:r w:rsidRPr="00A525BE">
        <w:rPr>
          <w:sz w:val="24"/>
          <w:szCs w:val="24"/>
        </w:rPr>
        <w:t xml:space="preserve"> attiecīgās kompetentās institūcijas izziņu, kas apliecina, ka uz kandidātu, kandidāta valdes vai padomes locekli, </w:t>
      </w:r>
      <w:proofErr w:type="spellStart"/>
      <w:r w:rsidRPr="00A525BE">
        <w:rPr>
          <w:sz w:val="24"/>
          <w:szCs w:val="24"/>
        </w:rPr>
        <w:t>pārstāvēttiesīgo</w:t>
      </w:r>
      <w:proofErr w:type="spellEnd"/>
      <w:r w:rsidRPr="00A525BE">
        <w:rPr>
          <w:sz w:val="24"/>
          <w:szCs w:val="24"/>
        </w:rPr>
        <w:t xml:space="preserve"> personu vai prokūristu, vai personu, kura ir pilnvarota pārstāvēt kandidātu darbībās, kas saistītas ar filiāli, un kura ir</w:t>
      </w:r>
      <w:proofErr w:type="gramStart"/>
      <w:r w:rsidRPr="00A525BE">
        <w:rPr>
          <w:sz w:val="24"/>
          <w:szCs w:val="24"/>
        </w:rPr>
        <w:t xml:space="preserve"> reģistrēta vai pastāvīgi</w:t>
      </w:r>
      <w:proofErr w:type="gramEnd"/>
      <w:r w:rsidRPr="00A525BE">
        <w:rPr>
          <w:sz w:val="24"/>
          <w:szCs w:val="24"/>
        </w:rPr>
        <w:t xml:space="preserve"> dzīvo ārvalstī, un 6.2.9. punktā minēto personu, kas reģistrēta vai pastāvīgi dzīvo ārvalstī </w:t>
      </w:r>
      <w:r w:rsidRPr="00A525BE">
        <w:rPr>
          <w:i/>
          <w:sz w:val="24"/>
          <w:szCs w:val="24"/>
        </w:rPr>
        <w:t xml:space="preserve">(ja tāda ir), </w:t>
      </w:r>
      <w:r w:rsidRPr="00A525BE">
        <w:rPr>
          <w:sz w:val="24"/>
          <w:szCs w:val="24"/>
        </w:rPr>
        <w:t>neattiecas 6.2.1., 6.2.3., 6.2.4., 6.2.5., 6.2.6. un 6.2.7.punk</w:t>
      </w:r>
      <w:r>
        <w:rPr>
          <w:sz w:val="24"/>
          <w:szCs w:val="24"/>
        </w:rPr>
        <w:t>tā minētie izslēgšanas gadījumi un termiņu izziņas iesniegšanai nosaka ne īsāku par 10 darbdienām pēc pieprasījuma izsniegšanas vai nosūtīšanas dienas.</w:t>
      </w:r>
    </w:p>
    <w:p w:rsidR="001936E4" w:rsidRPr="001D4B94" w:rsidRDefault="001936E4" w:rsidP="001936E4">
      <w:pPr>
        <w:ind w:right="45"/>
        <w:jc w:val="both"/>
        <w:rPr>
          <w:sz w:val="24"/>
          <w:szCs w:val="24"/>
        </w:rPr>
      </w:pPr>
    </w:p>
    <w:p w:rsidR="001936E4" w:rsidRPr="001759F6" w:rsidRDefault="001936E4" w:rsidP="001936E4">
      <w:pPr>
        <w:ind w:right="45"/>
        <w:jc w:val="both"/>
        <w:rPr>
          <w:b/>
          <w:sz w:val="24"/>
          <w:szCs w:val="24"/>
        </w:rPr>
      </w:pPr>
      <w:r w:rsidRPr="001759F6">
        <w:rPr>
          <w:b/>
          <w:sz w:val="24"/>
          <w:szCs w:val="24"/>
        </w:rPr>
        <w:t>Jautājums Nr.</w:t>
      </w:r>
      <w:r>
        <w:rPr>
          <w:b/>
          <w:sz w:val="24"/>
          <w:szCs w:val="24"/>
        </w:rPr>
        <w:t>5 un Nr.6</w:t>
      </w:r>
      <w:r w:rsidRPr="001759F6">
        <w:rPr>
          <w:b/>
          <w:sz w:val="24"/>
          <w:szCs w:val="24"/>
        </w:rPr>
        <w:t xml:space="preserve">: </w:t>
      </w:r>
    </w:p>
    <w:p w:rsidR="001936E4" w:rsidRDefault="001936E4" w:rsidP="001936E4">
      <w:pPr>
        <w:jc w:val="both"/>
        <w:rPr>
          <w:sz w:val="24"/>
          <w:szCs w:val="24"/>
        </w:rPr>
      </w:pPr>
      <w:r>
        <w:rPr>
          <w:sz w:val="24"/>
          <w:szCs w:val="24"/>
        </w:rPr>
        <w:t xml:space="preserve">1) </w:t>
      </w:r>
      <w:r w:rsidRPr="000B2EBF">
        <w:rPr>
          <w:sz w:val="24"/>
          <w:szCs w:val="24"/>
        </w:rPr>
        <w:t xml:space="preserve">Saistībā ar svētku dienām un to, ka nepieciešams sadarboties ar ārzemju partneriem, lai sagatavotu kvalitatīvu un prasībām atbilstošu piedāvājumu,  lūdzam izskatīt iespēju pagarināt </w:t>
      </w:r>
      <w:r>
        <w:rPr>
          <w:sz w:val="24"/>
          <w:szCs w:val="24"/>
        </w:rPr>
        <w:t>pieteikumu</w:t>
      </w:r>
      <w:r w:rsidRPr="000B2EBF">
        <w:rPr>
          <w:sz w:val="24"/>
          <w:szCs w:val="24"/>
        </w:rPr>
        <w:t xml:space="preserve"> iesniegšanas datumu.</w:t>
      </w:r>
    </w:p>
    <w:p w:rsidR="001936E4" w:rsidRPr="00FA7D8D" w:rsidRDefault="001936E4" w:rsidP="001936E4">
      <w:pPr>
        <w:ind w:right="26"/>
        <w:jc w:val="both"/>
        <w:rPr>
          <w:rFonts w:eastAsiaTheme="minorEastAsia"/>
          <w:sz w:val="24"/>
          <w:szCs w:val="24"/>
        </w:rPr>
      </w:pPr>
      <w:r>
        <w:rPr>
          <w:sz w:val="24"/>
          <w:szCs w:val="24"/>
        </w:rPr>
        <w:t xml:space="preserve">2) </w:t>
      </w:r>
      <w:r w:rsidRPr="00FA7D8D">
        <w:rPr>
          <w:sz w:val="24"/>
          <w:szCs w:val="24"/>
        </w:rPr>
        <w:t xml:space="preserve">Ņemot vērā iepirkuma priekšmeta sarežģītības pakāpi, kā arī to, ka iepirkuma nolikumā ir neprecizitātes lai Kandidāts varētu kvalitatīvi sagatavot pieteikumu un piesaistīt uzņēmējus ārpus Latvijas Republikas, lūdzam Pasūtītāju pagarināt pieteikumu iesniegšanas termiņu vismaz līdz </w:t>
      </w:r>
      <w:proofErr w:type="gramStart"/>
      <w:r w:rsidRPr="00FA7D8D">
        <w:rPr>
          <w:sz w:val="24"/>
          <w:szCs w:val="24"/>
          <w:u w:val="single"/>
        </w:rPr>
        <w:t>2018.gada</w:t>
      </w:r>
      <w:proofErr w:type="gramEnd"/>
      <w:r w:rsidRPr="00FA7D8D">
        <w:rPr>
          <w:sz w:val="24"/>
          <w:szCs w:val="24"/>
          <w:u w:val="single"/>
        </w:rPr>
        <w:t xml:space="preserve"> 23.jūlijam</w:t>
      </w:r>
      <w:r w:rsidRPr="00FA7D8D">
        <w:rPr>
          <w:sz w:val="24"/>
          <w:szCs w:val="24"/>
        </w:rPr>
        <w:t>.</w:t>
      </w:r>
    </w:p>
    <w:p w:rsidR="001936E4" w:rsidRDefault="001936E4" w:rsidP="001936E4">
      <w:pPr>
        <w:jc w:val="both"/>
        <w:rPr>
          <w:b/>
          <w:sz w:val="24"/>
          <w:szCs w:val="24"/>
        </w:rPr>
      </w:pPr>
    </w:p>
    <w:p w:rsidR="001936E4" w:rsidRDefault="001936E4" w:rsidP="001936E4">
      <w:pPr>
        <w:jc w:val="both"/>
        <w:rPr>
          <w:b/>
          <w:sz w:val="24"/>
          <w:szCs w:val="24"/>
        </w:rPr>
      </w:pPr>
      <w:r>
        <w:rPr>
          <w:b/>
          <w:sz w:val="24"/>
          <w:szCs w:val="24"/>
        </w:rPr>
        <w:t>Atbilde:</w:t>
      </w:r>
    </w:p>
    <w:p w:rsidR="001936E4" w:rsidRPr="00141AB0" w:rsidRDefault="001936E4" w:rsidP="001936E4">
      <w:pPr>
        <w:widowControl w:val="0"/>
        <w:suppressAutoHyphens/>
        <w:jc w:val="both"/>
        <w:rPr>
          <w:rFonts w:eastAsia="SimSun"/>
          <w:kern w:val="1"/>
          <w:sz w:val="24"/>
          <w:szCs w:val="24"/>
          <w:lang w:eastAsia="hi-IN" w:bidi="hi-IN"/>
        </w:rPr>
      </w:pPr>
      <w:r>
        <w:rPr>
          <w:rFonts w:eastAsia="SimSun"/>
          <w:kern w:val="1"/>
          <w:sz w:val="24"/>
          <w:szCs w:val="24"/>
          <w:lang w:eastAsia="hi-IN" w:bidi="hi-IN"/>
        </w:rPr>
        <w:t>I</w:t>
      </w:r>
      <w:r w:rsidRPr="00AE7A94">
        <w:rPr>
          <w:rFonts w:eastAsia="SimSun"/>
          <w:kern w:val="1"/>
          <w:sz w:val="24"/>
          <w:szCs w:val="24"/>
          <w:lang w:eastAsia="hi-IN" w:bidi="hi-IN"/>
        </w:rPr>
        <w:t xml:space="preserve">epirkuma </w:t>
      </w:r>
      <w:r w:rsidRPr="00141AB0">
        <w:rPr>
          <w:rFonts w:eastAsia="SimSun"/>
          <w:kern w:val="1"/>
          <w:sz w:val="24"/>
          <w:szCs w:val="24"/>
          <w:lang w:eastAsia="hi-IN" w:bidi="hi-IN"/>
        </w:rPr>
        <w:t xml:space="preserve">komisija </w:t>
      </w:r>
      <w:r>
        <w:rPr>
          <w:rFonts w:eastAsia="SimSun"/>
          <w:kern w:val="1"/>
          <w:sz w:val="24"/>
          <w:szCs w:val="24"/>
          <w:lang w:eastAsia="hi-IN" w:bidi="hi-IN"/>
        </w:rPr>
        <w:t xml:space="preserve">vienojas pagarināt </w:t>
      </w:r>
      <w:r w:rsidRPr="00141AB0">
        <w:rPr>
          <w:rFonts w:eastAsia="SimSun"/>
          <w:kern w:val="1"/>
          <w:sz w:val="24"/>
          <w:szCs w:val="24"/>
          <w:lang w:eastAsia="hi-IN" w:bidi="hi-IN"/>
        </w:rPr>
        <w:t xml:space="preserve">sarunu procedūras „Lidlauka gaisa telpas novērošanas un kontroles radara ar </w:t>
      </w:r>
      <w:proofErr w:type="spellStart"/>
      <w:r w:rsidRPr="00141AB0">
        <w:rPr>
          <w:rFonts w:eastAsia="SimSun"/>
          <w:kern w:val="1"/>
          <w:sz w:val="24"/>
          <w:szCs w:val="24"/>
          <w:lang w:eastAsia="hi-IN" w:bidi="hi-IN"/>
        </w:rPr>
        <w:t>multilaterālo</w:t>
      </w:r>
      <w:proofErr w:type="spellEnd"/>
      <w:r w:rsidRPr="00141AB0">
        <w:rPr>
          <w:rFonts w:eastAsia="SimSun"/>
          <w:kern w:val="1"/>
          <w:sz w:val="24"/>
          <w:szCs w:val="24"/>
          <w:lang w:eastAsia="hi-IN" w:bidi="hi-IN"/>
        </w:rPr>
        <w:t xml:space="preserve"> sistēmu un militāro ziņojumu piegādes sistēmu (ASR, MMHS, MLAT) piegāde un uzstādīšana” identifikācijas Nr. VAMOIC 2018/080, </w:t>
      </w:r>
      <w:r>
        <w:rPr>
          <w:rFonts w:eastAsia="SimSun"/>
          <w:kern w:val="1"/>
          <w:sz w:val="24"/>
          <w:szCs w:val="24"/>
          <w:lang w:eastAsia="hi-IN" w:bidi="hi-IN"/>
        </w:rPr>
        <w:t>pieteikumu iesniegšanas termiņu</w:t>
      </w:r>
      <w:r w:rsidRPr="00141AB0">
        <w:rPr>
          <w:rFonts w:eastAsia="SimSun"/>
          <w:kern w:val="1"/>
          <w:sz w:val="24"/>
          <w:szCs w:val="24"/>
          <w:lang w:eastAsia="hi-IN" w:bidi="hi-IN"/>
        </w:rPr>
        <w:t xml:space="preserve"> </w:t>
      </w:r>
      <w:r>
        <w:rPr>
          <w:rFonts w:eastAsia="SimSun"/>
          <w:kern w:val="1"/>
          <w:sz w:val="24"/>
          <w:szCs w:val="24"/>
          <w:lang w:eastAsia="hi-IN" w:bidi="hi-IN"/>
        </w:rPr>
        <w:t xml:space="preserve">un </w:t>
      </w:r>
      <w:r w:rsidRPr="00141AB0">
        <w:rPr>
          <w:rFonts w:eastAsia="SimSun"/>
          <w:kern w:val="1"/>
          <w:sz w:val="24"/>
          <w:szCs w:val="24"/>
          <w:lang w:eastAsia="hi-IN" w:bidi="hi-IN"/>
        </w:rPr>
        <w:t>nolikumā veikt šādus grozījumus:</w:t>
      </w:r>
    </w:p>
    <w:p w:rsidR="001936E4" w:rsidRPr="00141AB0" w:rsidRDefault="001936E4" w:rsidP="001936E4">
      <w:pPr>
        <w:widowControl w:val="0"/>
        <w:numPr>
          <w:ilvl w:val="0"/>
          <w:numId w:val="2"/>
        </w:numPr>
        <w:suppressAutoHyphens/>
        <w:jc w:val="both"/>
        <w:rPr>
          <w:rFonts w:eastAsia="SimSun"/>
          <w:kern w:val="1"/>
          <w:sz w:val="24"/>
          <w:szCs w:val="24"/>
          <w:lang w:eastAsia="hi-IN" w:bidi="hi-IN"/>
        </w:rPr>
      </w:pPr>
      <w:r w:rsidRPr="00141AB0">
        <w:rPr>
          <w:rFonts w:eastAsia="SimSun"/>
          <w:kern w:val="1"/>
          <w:sz w:val="24"/>
          <w:szCs w:val="24"/>
          <w:lang w:eastAsia="hi-IN" w:bidi="hi-IN"/>
        </w:rPr>
        <w:t xml:space="preserve">nolikuma 4.1.1. punktu izteikt šādā redakcijā: „4.1.1. </w:t>
      </w:r>
      <w:r w:rsidRPr="00141AB0">
        <w:rPr>
          <w:rFonts w:eastAsiaTheme="minorHAnsi"/>
          <w:sz w:val="24"/>
          <w:szCs w:val="24"/>
          <w:lang w:eastAsia="en-US"/>
        </w:rPr>
        <w:t>Pieteikuma par dalību sarunu procedūrā iesniegš</w:t>
      </w:r>
      <w:r w:rsidR="00564B76">
        <w:rPr>
          <w:rFonts w:eastAsiaTheme="minorHAnsi"/>
          <w:sz w:val="24"/>
          <w:szCs w:val="24"/>
          <w:lang w:eastAsia="en-US"/>
        </w:rPr>
        <w:t xml:space="preserve">anas termiņš ir līdz </w:t>
      </w:r>
      <w:proofErr w:type="gramStart"/>
      <w:r w:rsidR="00564B76">
        <w:rPr>
          <w:rFonts w:eastAsiaTheme="minorHAnsi"/>
          <w:sz w:val="24"/>
          <w:szCs w:val="24"/>
          <w:lang w:eastAsia="en-US"/>
        </w:rPr>
        <w:t>2018.gada</w:t>
      </w:r>
      <w:proofErr w:type="gramEnd"/>
      <w:r w:rsidR="00564B76">
        <w:rPr>
          <w:rFonts w:eastAsiaTheme="minorHAnsi"/>
          <w:sz w:val="24"/>
          <w:szCs w:val="24"/>
          <w:lang w:eastAsia="en-US"/>
        </w:rPr>
        <w:t xml:space="preserve"> 31</w:t>
      </w:r>
      <w:r w:rsidRPr="00141AB0">
        <w:rPr>
          <w:rFonts w:eastAsiaTheme="minorHAnsi"/>
          <w:sz w:val="24"/>
          <w:szCs w:val="24"/>
          <w:lang w:eastAsia="en-US"/>
        </w:rPr>
        <w:t>.jūlijam plkst. 11:00, Centrā, Ernestīnes ielā 34, Rīgā, LV-1046. Kandidātu pieteikumi, kas iesniegti pēc šī termiņa, netiek atvērti un neatvērti tiek nosūtīti atpakaļ iesniedzējam</w:t>
      </w:r>
      <w:r w:rsidRPr="00141AB0">
        <w:rPr>
          <w:rFonts w:eastAsia="SimSun"/>
          <w:kern w:val="1"/>
          <w:sz w:val="24"/>
          <w:szCs w:val="24"/>
          <w:lang w:eastAsia="hi-IN" w:bidi="hi-IN"/>
        </w:rPr>
        <w:t>”.</w:t>
      </w:r>
    </w:p>
    <w:p w:rsidR="001936E4" w:rsidRPr="00D528CA" w:rsidRDefault="001936E4" w:rsidP="001936E4">
      <w:pPr>
        <w:widowControl w:val="0"/>
        <w:numPr>
          <w:ilvl w:val="0"/>
          <w:numId w:val="2"/>
        </w:numPr>
        <w:suppressAutoHyphens/>
        <w:contextualSpacing/>
        <w:jc w:val="both"/>
        <w:rPr>
          <w:sz w:val="24"/>
          <w:szCs w:val="24"/>
        </w:rPr>
      </w:pPr>
      <w:r w:rsidRPr="00141AB0">
        <w:rPr>
          <w:rFonts w:eastAsia="Calibri"/>
          <w:sz w:val="24"/>
          <w:szCs w:val="24"/>
          <w:lang w:eastAsia="en-US"/>
        </w:rPr>
        <w:t xml:space="preserve">nolikuma 4.3.9.2.punktu izteikt šādā </w:t>
      </w:r>
      <w:r w:rsidRPr="00D528CA">
        <w:rPr>
          <w:rFonts w:eastAsia="Calibri"/>
          <w:sz w:val="24"/>
          <w:szCs w:val="24"/>
          <w:lang w:eastAsia="en-US"/>
        </w:rPr>
        <w:t xml:space="preserve">redakcijā: “4.3.9.2. </w:t>
      </w:r>
      <w:r w:rsidRPr="00D528CA">
        <w:rPr>
          <w:sz w:val="24"/>
          <w:szCs w:val="24"/>
        </w:rPr>
        <w:t xml:space="preserve">norāde: Sarunu procedūrai „Lidlauka gaisa telpas novērošanas un kontroles radara ar </w:t>
      </w:r>
      <w:proofErr w:type="spellStart"/>
      <w:r w:rsidRPr="00D528CA">
        <w:rPr>
          <w:sz w:val="24"/>
          <w:szCs w:val="24"/>
        </w:rPr>
        <w:t>multilaterālo</w:t>
      </w:r>
      <w:proofErr w:type="spellEnd"/>
      <w:r w:rsidRPr="00D528CA">
        <w:rPr>
          <w:sz w:val="24"/>
          <w:szCs w:val="24"/>
        </w:rPr>
        <w:t xml:space="preserve"> sistēmu un militāro ziņojumu piegādes sistēmu (ASR, MMHS, MLAT) piegāde un uzstādīšana”, (identifikācijas Nr. VAMOIC 2018/080).</w:t>
      </w:r>
    </w:p>
    <w:p w:rsidR="001936E4" w:rsidRPr="00D528CA" w:rsidRDefault="001936E4" w:rsidP="001936E4">
      <w:pPr>
        <w:widowControl w:val="0"/>
        <w:suppressAutoHyphens/>
        <w:ind w:left="720"/>
        <w:contextualSpacing/>
        <w:jc w:val="both"/>
        <w:rPr>
          <w:rFonts w:eastAsia="Calibri"/>
          <w:sz w:val="24"/>
          <w:szCs w:val="24"/>
          <w:lang w:eastAsia="en-US"/>
        </w:rPr>
      </w:pPr>
      <w:r w:rsidRPr="00D528CA">
        <w:rPr>
          <w:rFonts w:eastAsia="Calibri"/>
          <w:sz w:val="24"/>
          <w:szCs w:val="24"/>
          <w:lang w:eastAsia="en-US"/>
        </w:rPr>
        <w:t xml:space="preserve">Neatvērt līdz </w:t>
      </w:r>
      <w:proofErr w:type="gramStart"/>
      <w:r w:rsidRPr="00D528CA">
        <w:rPr>
          <w:rFonts w:eastAsia="Calibri"/>
          <w:sz w:val="24"/>
          <w:szCs w:val="24"/>
          <w:lang w:eastAsia="en-US"/>
        </w:rPr>
        <w:t>2</w:t>
      </w:r>
      <w:r w:rsidR="00564B76">
        <w:rPr>
          <w:rFonts w:eastAsia="Calibri"/>
          <w:sz w:val="24"/>
          <w:szCs w:val="24"/>
          <w:lang w:eastAsia="en-US"/>
        </w:rPr>
        <w:t>018.gada</w:t>
      </w:r>
      <w:proofErr w:type="gramEnd"/>
      <w:r w:rsidR="00564B76">
        <w:rPr>
          <w:rFonts w:eastAsia="Calibri"/>
          <w:sz w:val="24"/>
          <w:szCs w:val="24"/>
          <w:lang w:eastAsia="en-US"/>
        </w:rPr>
        <w:t xml:space="preserve"> 31</w:t>
      </w:r>
      <w:r>
        <w:rPr>
          <w:rFonts w:eastAsia="Calibri"/>
          <w:sz w:val="24"/>
          <w:szCs w:val="24"/>
          <w:lang w:eastAsia="en-US"/>
        </w:rPr>
        <w:t>.jūlijam plkst.11:00</w:t>
      </w:r>
      <w:r w:rsidRPr="00D528CA">
        <w:rPr>
          <w:rFonts w:eastAsia="Calibri"/>
          <w:sz w:val="24"/>
          <w:szCs w:val="24"/>
          <w:lang w:eastAsia="en-US"/>
        </w:rPr>
        <w:t>”.</w:t>
      </w:r>
    </w:p>
    <w:p w:rsidR="001936E4" w:rsidRPr="00141AB0" w:rsidRDefault="001936E4" w:rsidP="001936E4">
      <w:pPr>
        <w:pStyle w:val="ListParagraph"/>
        <w:widowControl w:val="0"/>
        <w:numPr>
          <w:ilvl w:val="0"/>
          <w:numId w:val="2"/>
        </w:numPr>
        <w:suppressAutoHyphens/>
        <w:spacing w:line="240" w:lineRule="auto"/>
        <w:jc w:val="both"/>
        <w:rPr>
          <w:rFonts w:ascii="Times New Roman" w:hAnsi="Times New Roman"/>
          <w:sz w:val="24"/>
          <w:szCs w:val="24"/>
          <w:lang w:val="lv-LV"/>
        </w:rPr>
      </w:pPr>
      <w:r w:rsidRPr="00141AB0">
        <w:rPr>
          <w:rFonts w:ascii="Times New Roman" w:hAnsi="Times New Roman"/>
          <w:sz w:val="24"/>
          <w:szCs w:val="24"/>
          <w:lang w:val="lv-LV"/>
        </w:rPr>
        <w:t>nolikuma 6.2.4.punktu izteikt šādā redakcijā: “6.2.4. kandidātam pieteikumu iesniegšanas t</w:t>
      </w:r>
      <w:r w:rsidR="00564B76">
        <w:rPr>
          <w:rFonts w:ascii="Times New Roman" w:hAnsi="Times New Roman"/>
          <w:sz w:val="24"/>
          <w:szCs w:val="24"/>
          <w:lang w:val="lv-LV"/>
        </w:rPr>
        <w:t>ermiņa pēdējā dienā (31</w:t>
      </w:r>
      <w:r w:rsidRPr="00141AB0">
        <w:rPr>
          <w:rFonts w:ascii="Times New Roman" w:hAnsi="Times New Roman"/>
          <w:sz w:val="24"/>
          <w:szCs w:val="24"/>
          <w:lang w:val="lv-LV"/>
        </w:rPr>
        <w:t xml:space="preserve">.07.2018.), Latvijā un valstī, kurā tas </w:t>
      </w:r>
      <w:r w:rsidRPr="00141AB0">
        <w:rPr>
          <w:rFonts w:ascii="Times New Roman" w:hAnsi="Times New Roman"/>
          <w:sz w:val="24"/>
          <w:szCs w:val="24"/>
          <w:lang w:val="lv-LV"/>
        </w:rPr>
        <w:lastRenderedPageBreak/>
        <w:t xml:space="preserve">reģistrēts (ja tas nav reģistrēts Latvijā vai tā pastāvīgā dzīvesvieta nav Latvijā), ir nodokļu parādi, tajā skaitā valsts sociālās apdrošināšanas obligāto iemaksu parādi, kas kopsummā katrā valstī pārsniedz 150 </w:t>
      </w:r>
      <w:proofErr w:type="spellStart"/>
      <w:r w:rsidRPr="00141AB0">
        <w:rPr>
          <w:rFonts w:ascii="Times New Roman" w:hAnsi="Times New Roman"/>
          <w:i/>
          <w:sz w:val="24"/>
          <w:szCs w:val="24"/>
          <w:lang w:val="lv-LV"/>
        </w:rPr>
        <w:t>euro</w:t>
      </w:r>
      <w:proofErr w:type="spellEnd"/>
      <w:r w:rsidRPr="00141AB0">
        <w:rPr>
          <w:rFonts w:ascii="Times New Roman" w:hAnsi="Times New Roman"/>
          <w:sz w:val="24"/>
          <w:szCs w:val="24"/>
          <w:lang w:val="lv-LV"/>
        </w:rPr>
        <w:t>”.</w:t>
      </w:r>
    </w:p>
    <w:p w:rsidR="001936E4" w:rsidRPr="00AE7A94" w:rsidRDefault="001936E4" w:rsidP="001936E4">
      <w:pPr>
        <w:widowControl w:val="0"/>
        <w:suppressAutoHyphens/>
        <w:contextualSpacing/>
        <w:jc w:val="both"/>
        <w:rPr>
          <w:rFonts w:eastAsia="Calibri"/>
          <w:sz w:val="24"/>
          <w:szCs w:val="24"/>
          <w:lang w:eastAsia="en-US"/>
        </w:rPr>
      </w:pPr>
    </w:p>
    <w:p w:rsidR="001936E4" w:rsidRDefault="001936E4" w:rsidP="001936E4">
      <w:pPr>
        <w:ind w:firstLine="709"/>
        <w:jc w:val="both"/>
        <w:rPr>
          <w:sz w:val="24"/>
          <w:szCs w:val="24"/>
        </w:rPr>
      </w:pPr>
      <w:r w:rsidRPr="007F3DC5">
        <w:rPr>
          <w:sz w:val="24"/>
          <w:szCs w:val="24"/>
        </w:rPr>
        <w:t>Papildus iepriekš minētajam</w:t>
      </w:r>
      <w:r>
        <w:rPr>
          <w:sz w:val="24"/>
          <w:szCs w:val="24"/>
        </w:rPr>
        <w:t>, iepirkuma komisija precizē sarunu procedūras nolikumā noteiktās prasības un konstatētās tehniskās /pārrakstīšanās kļūdas:</w:t>
      </w:r>
    </w:p>
    <w:p w:rsidR="001936E4" w:rsidRDefault="001936E4" w:rsidP="001936E4">
      <w:pPr>
        <w:pStyle w:val="ListParagraph"/>
        <w:numPr>
          <w:ilvl w:val="0"/>
          <w:numId w:val="3"/>
        </w:numPr>
        <w:spacing w:line="240" w:lineRule="auto"/>
        <w:ind w:left="0" w:firstLine="709"/>
        <w:jc w:val="both"/>
        <w:rPr>
          <w:rFonts w:ascii="Times New Roman" w:hAnsi="Times New Roman"/>
          <w:sz w:val="24"/>
          <w:szCs w:val="24"/>
        </w:rPr>
      </w:pPr>
      <w:r w:rsidRPr="00824090">
        <w:rPr>
          <w:rFonts w:ascii="Times New Roman" w:hAnsi="Times New Roman"/>
          <w:sz w:val="24"/>
          <w:szCs w:val="24"/>
          <w:lang w:val="lv-LV"/>
        </w:rPr>
        <w:t xml:space="preserve">sarunu procedūras tulkojuma angļu valodā </w:t>
      </w:r>
      <w:r>
        <w:rPr>
          <w:rFonts w:ascii="Times New Roman" w:hAnsi="Times New Roman"/>
          <w:sz w:val="24"/>
          <w:szCs w:val="24"/>
          <w:lang w:val="lv-LV"/>
        </w:rPr>
        <w:t>1.1.punktā</w:t>
      </w:r>
      <w:r w:rsidRPr="00824090">
        <w:rPr>
          <w:rFonts w:ascii="Times New Roman" w:hAnsi="Times New Roman"/>
          <w:sz w:val="24"/>
          <w:szCs w:val="24"/>
          <w:lang w:val="lv-LV"/>
        </w:rPr>
        <w:t xml:space="preserve"> un izsaka to šādā redakcijā: “</w:t>
      </w:r>
      <w:r>
        <w:rPr>
          <w:rFonts w:ascii="Times New Roman" w:hAnsi="Times New Roman"/>
          <w:sz w:val="24"/>
          <w:szCs w:val="24"/>
          <w:lang w:val="lv-LV"/>
        </w:rPr>
        <w:t>1.1.</w:t>
      </w:r>
      <w:r w:rsidRPr="00824090">
        <w:rPr>
          <w:rFonts w:ascii="Times New Roman" w:hAnsi="Times New Roman"/>
          <w:sz w:val="24"/>
          <w:szCs w:val="24"/>
        </w:rPr>
        <w:t xml:space="preserve">Contracting Authority of the Negotiated Procedure „ Procurement of delivery and installation of airspace surveillance and control radar with multilateral systems and military message delivery systems (ASR, MMHS, MLAT) delivery and installation”, Identification No. VAMOIC 2018/080 (hereinafter – Negotiated Procedure) is 2nd Regional Provision Centre of Logistics Support Command of National Armed Forces (NAF) of Republic of Latvia, located at NAF Aviation Base, address: </w:t>
      </w:r>
      <w:proofErr w:type="spellStart"/>
      <w:r w:rsidRPr="00824090">
        <w:rPr>
          <w:rFonts w:ascii="Times New Roman" w:hAnsi="Times New Roman"/>
          <w:sz w:val="24"/>
          <w:szCs w:val="24"/>
        </w:rPr>
        <w:t>Rembates</w:t>
      </w:r>
      <w:proofErr w:type="spellEnd"/>
      <w:r w:rsidRPr="00824090">
        <w:rPr>
          <w:rFonts w:ascii="Times New Roman" w:hAnsi="Times New Roman"/>
          <w:sz w:val="24"/>
          <w:szCs w:val="24"/>
        </w:rPr>
        <w:t xml:space="preserve"> </w:t>
      </w:r>
      <w:proofErr w:type="spellStart"/>
      <w:r w:rsidRPr="00824090">
        <w:rPr>
          <w:rFonts w:ascii="Times New Roman" w:hAnsi="Times New Roman"/>
          <w:sz w:val="24"/>
          <w:szCs w:val="24"/>
        </w:rPr>
        <w:t>pagasts</w:t>
      </w:r>
      <w:proofErr w:type="spellEnd"/>
      <w:r w:rsidRPr="00824090">
        <w:rPr>
          <w:rFonts w:ascii="Times New Roman" w:hAnsi="Times New Roman"/>
          <w:sz w:val="24"/>
          <w:szCs w:val="24"/>
        </w:rPr>
        <w:t xml:space="preserve">, </w:t>
      </w:r>
      <w:proofErr w:type="spellStart"/>
      <w:r w:rsidRPr="00824090">
        <w:rPr>
          <w:rFonts w:ascii="Times New Roman" w:hAnsi="Times New Roman"/>
          <w:sz w:val="24"/>
          <w:szCs w:val="24"/>
        </w:rPr>
        <w:t>Ķeguma</w:t>
      </w:r>
      <w:proofErr w:type="spellEnd"/>
      <w:r w:rsidRPr="00824090">
        <w:rPr>
          <w:rFonts w:ascii="Times New Roman" w:hAnsi="Times New Roman"/>
          <w:sz w:val="24"/>
          <w:szCs w:val="24"/>
        </w:rPr>
        <w:t xml:space="preserve"> </w:t>
      </w:r>
      <w:proofErr w:type="spellStart"/>
      <w:r w:rsidRPr="00824090">
        <w:rPr>
          <w:rFonts w:ascii="Times New Roman" w:hAnsi="Times New Roman"/>
          <w:sz w:val="24"/>
          <w:szCs w:val="24"/>
        </w:rPr>
        <w:t>novads</w:t>
      </w:r>
      <w:proofErr w:type="spellEnd"/>
      <w:r w:rsidRPr="00824090">
        <w:rPr>
          <w:rFonts w:ascii="Times New Roman" w:hAnsi="Times New Roman"/>
          <w:sz w:val="24"/>
          <w:szCs w:val="24"/>
        </w:rPr>
        <w:t>, LV-5016, Latvia”.</w:t>
      </w:r>
    </w:p>
    <w:p w:rsidR="001936E4" w:rsidRPr="004E5ABB" w:rsidRDefault="001936E4" w:rsidP="001936E4">
      <w:pPr>
        <w:numPr>
          <w:ilvl w:val="0"/>
          <w:numId w:val="4"/>
        </w:numPr>
        <w:tabs>
          <w:tab w:val="clear" w:pos="643"/>
        </w:tabs>
        <w:ind w:left="0" w:firstLine="283"/>
        <w:jc w:val="both"/>
        <w:rPr>
          <w:sz w:val="24"/>
          <w:szCs w:val="24"/>
        </w:rPr>
      </w:pPr>
      <w:r>
        <w:rPr>
          <w:sz w:val="24"/>
          <w:szCs w:val="24"/>
        </w:rPr>
        <w:t>Sarunu procedūras nolikuma pielikuma Nr.2 “APLIECINĀJUMS” 2.punktu un izsaka to šādā redakcijā: “2.</w:t>
      </w:r>
      <w:r w:rsidRPr="004E5ABB">
        <w:rPr>
          <w:sz w:val="24"/>
          <w:szCs w:val="24"/>
        </w:rPr>
        <w:t xml:space="preserve">Apliecinām, ka iepriekšējo 5 (piecu) gadu laika periodā no pieteikuma iesniegšanas dienas mums ir pieredze </w:t>
      </w:r>
      <w:r w:rsidRPr="004E5ABB">
        <w:rPr>
          <w:iCs/>
          <w:sz w:val="24"/>
          <w:szCs w:val="24"/>
        </w:rPr>
        <w:t>šādu ekspluatācijā esošu funkcionāli līdzvērtīgu lidlauka radiolokācijas sistēmu piegādē, uzstādīšanā, instalēšanā un nodošanā ekspluatācijā</w:t>
      </w:r>
      <w:r w:rsidRPr="004E5ABB">
        <w:rPr>
          <w:sz w:val="24"/>
          <w:szCs w:val="24"/>
        </w:rPr>
        <w:t>:</w:t>
      </w:r>
    </w:p>
    <w:p w:rsidR="001936E4" w:rsidRPr="004E5ABB" w:rsidRDefault="001936E4" w:rsidP="001936E4">
      <w:pPr>
        <w:jc w:val="both"/>
        <w:rPr>
          <w:sz w:val="24"/>
          <w:szCs w:val="24"/>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2268"/>
        <w:gridCol w:w="3364"/>
        <w:gridCol w:w="1739"/>
      </w:tblGrid>
      <w:tr w:rsidR="001936E4" w:rsidRPr="004E5ABB" w:rsidTr="001936E4">
        <w:trPr>
          <w:trHeight w:val="474"/>
        </w:trPr>
        <w:tc>
          <w:tcPr>
            <w:tcW w:w="1872" w:type="dxa"/>
            <w:vAlign w:val="center"/>
          </w:tcPr>
          <w:p w:rsidR="001936E4" w:rsidRPr="004E5ABB" w:rsidRDefault="001936E4" w:rsidP="001936E4">
            <w:pPr>
              <w:tabs>
                <w:tab w:val="num" w:pos="851"/>
                <w:tab w:val="center" w:pos="4153"/>
                <w:tab w:val="right" w:pos="8306"/>
              </w:tabs>
              <w:jc w:val="center"/>
              <w:rPr>
                <w:sz w:val="24"/>
                <w:szCs w:val="24"/>
              </w:rPr>
            </w:pPr>
            <w:bookmarkStart w:id="1" w:name="_Hlk155763894"/>
            <w:r w:rsidRPr="004E5ABB">
              <w:rPr>
                <w:sz w:val="24"/>
                <w:szCs w:val="24"/>
              </w:rPr>
              <w:t>Piegādes un uzstādīšanas laiks un vieta</w:t>
            </w:r>
          </w:p>
        </w:tc>
        <w:tc>
          <w:tcPr>
            <w:tcW w:w="2268" w:type="dxa"/>
            <w:vAlign w:val="center"/>
          </w:tcPr>
          <w:p w:rsidR="001936E4" w:rsidRPr="004E5ABB" w:rsidRDefault="001936E4" w:rsidP="001936E4">
            <w:pPr>
              <w:tabs>
                <w:tab w:val="num" w:pos="851"/>
                <w:tab w:val="center" w:pos="4153"/>
                <w:tab w:val="right" w:pos="8306"/>
              </w:tabs>
              <w:jc w:val="center"/>
              <w:rPr>
                <w:sz w:val="24"/>
                <w:szCs w:val="24"/>
              </w:rPr>
            </w:pPr>
            <w:r w:rsidRPr="004E5ABB">
              <w:rPr>
                <w:sz w:val="24"/>
                <w:szCs w:val="24"/>
              </w:rPr>
              <w:t>Lielākie klienti</w:t>
            </w:r>
          </w:p>
        </w:tc>
        <w:tc>
          <w:tcPr>
            <w:tcW w:w="3364" w:type="dxa"/>
            <w:vAlign w:val="center"/>
          </w:tcPr>
          <w:p w:rsidR="001936E4" w:rsidRPr="004E5ABB" w:rsidRDefault="001936E4" w:rsidP="001936E4">
            <w:pPr>
              <w:tabs>
                <w:tab w:val="num" w:pos="851"/>
                <w:tab w:val="center" w:pos="4153"/>
                <w:tab w:val="right" w:pos="8306"/>
              </w:tabs>
              <w:jc w:val="center"/>
              <w:rPr>
                <w:sz w:val="24"/>
                <w:szCs w:val="24"/>
              </w:rPr>
            </w:pPr>
            <w:r w:rsidRPr="004E5ABB">
              <w:rPr>
                <w:sz w:val="24"/>
                <w:szCs w:val="24"/>
              </w:rPr>
              <w:t>Iekārtu nosaukums un ražotājs</w:t>
            </w:r>
          </w:p>
        </w:tc>
        <w:tc>
          <w:tcPr>
            <w:tcW w:w="1739" w:type="dxa"/>
            <w:vAlign w:val="center"/>
          </w:tcPr>
          <w:p w:rsidR="001936E4" w:rsidRPr="004E5ABB" w:rsidRDefault="00D25971" w:rsidP="001936E4">
            <w:pPr>
              <w:tabs>
                <w:tab w:val="num" w:pos="851"/>
                <w:tab w:val="center" w:pos="4153"/>
                <w:tab w:val="right" w:pos="8306"/>
              </w:tabs>
              <w:jc w:val="center"/>
              <w:rPr>
                <w:sz w:val="24"/>
                <w:szCs w:val="24"/>
              </w:rPr>
            </w:pPr>
            <w:r>
              <w:rPr>
                <w:sz w:val="24"/>
                <w:szCs w:val="24"/>
              </w:rPr>
              <w:t>Klienta kontaktpersona</w:t>
            </w:r>
            <w:r w:rsidR="001936E4" w:rsidRPr="004E5ABB">
              <w:rPr>
                <w:sz w:val="24"/>
                <w:szCs w:val="24"/>
              </w:rPr>
              <w:t>, tālrunis</w:t>
            </w:r>
          </w:p>
        </w:tc>
      </w:tr>
      <w:bookmarkEnd w:id="1"/>
      <w:tr w:rsidR="001936E4" w:rsidRPr="004E5ABB" w:rsidTr="001936E4">
        <w:trPr>
          <w:trHeight w:val="64"/>
        </w:trPr>
        <w:tc>
          <w:tcPr>
            <w:tcW w:w="1872" w:type="dxa"/>
          </w:tcPr>
          <w:p w:rsidR="001936E4" w:rsidRPr="004E5ABB" w:rsidRDefault="001936E4" w:rsidP="001936E4">
            <w:pPr>
              <w:tabs>
                <w:tab w:val="num" w:pos="851"/>
                <w:tab w:val="center" w:pos="4153"/>
                <w:tab w:val="right" w:pos="8306"/>
              </w:tabs>
              <w:ind w:left="567" w:firstLine="567"/>
              <w:jc w:val="both"/>
              <w:rPr>
                <w:sz w:val="24"/>
                <w:szCs w:val="24"/>
              </w:rPr>
            </w:pPr>
          </w:p>
        </w:tc>
        <w:tc>
          <w:tcPr>
            <w:tcW w:w="2268" w:type="dxa"/>
          </w:tcPr>
          <w:p w:rsidR="001936E4" w:rsidRPr="004E5ABB" w:rsidRDefault="001936E4" w:rsidP="001936E4">
            <w:pPr>
              <w:tabs>
                <w:tab w:val="num" w:pos="851"/>
                <w:tab w:val="center" w:pos="4153"/>
                <w:tab w:val="right" w:pos="8306"/>
              </w:tabs>
              <w:ind w:left="567" w:firstLine="567"/>
              <w:jc w:val="both"/>
              <w:rPr>
                <w:sz w:val="24"/>
                <w:szCs w:val="24"/>
              </w:rPr>
            </w:pPr>
          </w:p>
        </w:tc>
        <w:tc>
          <w:tcPr>
            <w:tcW w:w="3364" w:type="dxa"/>
          </w:tcPr>
          <w:p w:rsidR="001936E4" w:rsidRPr="004E5ABB" w:rsidRDefault="001936E4" w:rsidP="001936E4">
            <w:pPr>
              <w:tabs>
                <w:tab w:val="num" w:pos="851"/>
                <w:tab w:val="center" w:pos="4153"/>
                <w:tab w:val="right" w:pos="8306"/>
              </w:tabs>
              <w:jc w:val="both"/>
              <w:rPr>
                <w:sz w:val="24"/>
                <w:szCs w:val="24"/>
              </w:rPr>
            </w:pPr>
          </w:p>
        </w:tc>
        <w:tc>
          <w:tcPr>
            <w:tcW w:w="1739" w:type="dxa"/>
          </w:tcPr>
          <w:p w:rsidR="001936E4" w:rsidRPr="004E5ABB" w:rsidRDefault="001936E4" w:rsidP="001936E4">
            <w:pPr>
              <w:tabs>
                <w:tab w:val="num" w:pos="851"/>
                <w:tab w:val="center" w:pos="4153"/>
                <w:tab w:val="right" w:pos="8306"/>
              </w:tabs>
              <w:jc w:val="both"/>
              <w:rPr>
                <w:sz w:val="24"/>
                <w:szCs w:val="24"/>
              </w:rPr>
            </w:pPr>
          </w:p>
        </w:tc>
      </w:tr>
      <w:tr w:rsidR="001936E4" w:rsidRPr="004E5ABB" w:rsidTr="001936E4">
        <w:trPr>
          <w:trHeight w:val="64"/>
        </w:trPr>
        <w:tc>
          <w:tcPr>
            <w:tcW w:w="1872" w:type="dxa"/>
          </w:tcPr>
          <w:p w:rsidR="001936E4" w:rsidRPr="004E5ABB" w:rsidRDefault="001936E4" w:rsidP="001936E4">
            <w:pPr>
              <w:tabs>
                <w:tab w:val="num" w:pos="851"/>
                <w:tab w:val="center" w:pos="4153"/>
                <w:tab w:val="right" w:pos="8306"/>
              </w:tabs>
              <w:ind w:left="567" w:firstLine="567"/>
              <w:jc w:val="both"/>
              <w:rPr>
                <w:sz w:val="24"/>
                <w:szCs w:val="24"/>
              </w:rPr>
            </w:pPr>
          </w:p>
        </w:tc>
        <w:tc>
          <w:tcPr>
            <w:tcW w:w="2268" w:type="dxa"/>
          </w:tcPr>
          <w:p w:rsidR="001936E4" w:rsidRPr="004E5ABB" w:rsidRDefault="001936E4" w:rsidP="001936E4">
            <w:pPr>
              <w:tabs>
                <w:tab w:val="num" w:pos="851"/>
                <w:tab w:val="center" w:pos="4153"/>
                <w:tab w:val="right" w:pos="8306"/>
              </w:tabs>
              <w:ind w:left="567" w:firstLine="567"/>
              <w:jc w:val="both"/>
              <w:rPr>
                <w:sz w:val="24"/>
                <w:szCs w:val="24"/>
              </w:rPr>
            </w:pPr>
          </w:p>
        </w:tc>
        <w:tc>
          <w:tcPr>
            <w:tcW w:w="3364" w:type="dxa"/>
          </w:tcPr>
          <w:p w:rsidR="001936E4" w:rsidRPr="004E5ABB" w:rsidRDefault="001936E4" w:rsidP="001936E4">
            <w:pPr>
              <w:tabs>
                <w:tab w:val="num" w:pos="851"/>
                <w:tab w:val="center" w:pos="4153"/>
                <w:tab w:val="right" w:pos="8306"/>
              </w:tabs>
              <w:jc w:val="both"/>
              <w:rPr>
                <w:sz w:val="24"/>
                <w:szCs w:val="24"/>
              </w:rPr>
            </w:pPr>
          </w:p>
        </w:tc>
        <w:tc>
          <w:tcPr>
            <w:tcW w:w="1739" w:type="dxa"/>
          </w:tcPr>
          <w:p w:rsidR="001936E4" w:rsidRPr="004E5ABB" w:rsidRDefault="001936E4" w:rsidP="001936E4">
            <w:pPr>
              <w:tabs>
                <w:tab w:val="num" w:pos="851"/>
                <w:tab w:val="center" w:pos="4153"/>
                <w:tab w:val="right" w:pos="8306"/>
              </w:tabs>
              <w:jc w:val="both"/>
              <w:rPr>
                <w:sz w:val="24"/>
                <w:szCs w:val="24"/>
              </w:rPr>
            </w:pPr>
          </w:p>
        </w:tc>
      </w:tr>
      <w:tr w:rsidR="001936E4" w:rsidRPr="004E5ABB" w:rsidTr="001936E4">
        <w:trPr>
          <w:trHeight w:val="64"/>
        </w:trPr>
        <w:tc>
          <w:tcPr>
            <w:tcW w:w="1872" w:type="dxa"/>
          </w:tcPr>
          <w:p w:rsidR="001936E4" w:rsidRPr="004E5ABB" w:rsidRDefault="001936E4" w:rsidP="001936E4">
            <w:pPr>
              <w:tabs>
                <w:tab w:val="num" w:pos="851"/>
                <w:tab w:val="center" w:pos="4153"/>
                <w:tab w:val="right" w:pos="8306"/>
              </w:tabs>
              <w:ind w:left="567" w:firstLine="567"/>
              <w:jc w:val="both"/>
              <w:rPr>
                <w:sz w:val="24"/>
                <w:szCs w:val="24"/>
              </w:rPr>
            </w:pPr>
          </w:p>
        </w:tc>
        <w:tc>
          <w:tcPr>
            <w:tcW w:w="2268" w:type="dxa"/>
          </w:tcPr>
          <w:p w:rsidR="001936E4" w:rsidRPr="004E5ABB" w:rsidRDefault="001936E4" w:rsidP="001936E4">
            <w:pPr>
              <w:tabs>
                <w:tab w:val="num" w:pos="851"/>
                <w:tab w:val="center" w:pos="4153"/>
                <w:tab w:val="right" w:pos="8306"/>
              </w:tabs>
              <w:ind w:left="567" w:firstLine="567"/>
              <w:jc w:val="both"/>
              <w:rPr>
                <w:sz w:val="24"/>
                <w:szCs w:val="24"/>
              </w:rPr>
            </w:pPr>
          </w:p>
        </w:tc>
        <w:tc>
          <w:tcPr>
            <w:tcW w:w="3364" w:type="dxa"/>
          </w:tcPr>
          <w:p w:rsidR="001936E4" w:rsidRPr="004E5ABB" w:rsidRDefault="001936E4" w:rsidP="001936E4">
            <w:pPr>
              <w:tabs>
                <w:tab w:val="num" w:pos="851"/>
                <w:tab w:val="center" w:pos="4153"/>
                <w:tab w:val="right" w:pos="8306"/>
              </w:tabs>
              <w:jc w:val="both"/>
              <w:rPr>
                <w:sz w:val="24"/>
                <w:szCs w:val="24"/>
              </w:rPr>
            </w:pPr>
          </w:p>
        </w:tc>
        <w:tc>
          <w:tcPr>
            <w:tcW w:w="1739" w:type="dxa"/>
          </w:tcPr>
          <w:p w:rsidR="001936E4" w:rsidRPr="004E5ABB" w:rsidRDefault="001936E4" w:rsidP="001936E4">
            <w:pPr>
              <w:tabs>
                <w:tab w:val="num" w:pos="851"/>
                <w:tab w:val="center" w:pos="4153"/>
                <w:tab w:val="right" w:pos="8306"/>
              </w:tabs>
              <w:jc w:val="both"/>
              <w:rPr>
                <w:sz w:val="24"/>
                <w:szCs w:val="24"/>
              </w:rPr>
            </w:pPr>
          </w:p>
        </w:tc>
      </w:tr>
      <w:tr w:rsidR="001936E4" w:rsidRPr="004E5ABB" w:rsidTr="001936E4">
        <w:trPr>
          <w:trHeight w:val="64"/>
        </w:trPr>
        <w:tc>
          <w:tcPr>
            <w:tcW w:w="1872" w:type="dxa"/>
          </w:tcPr>
          <w:p w:rsidR="001936E4" w:rsidRPr="004E5ABB" w:rsidRDefault="001936E4" w:rsidP="001936E4">
            <w:pPr>
              <w:tabs>
                <w:tab w:val="num" w:pos="851"/>
                <w:tab w:val="center" w:pos="4153"/>
                <w:tab w:val="right" w:pos="8306"/>
              </w:tabs>
              <w:ind w:left="567" w:firstLine="567"/>
              <w:jc w:val="both"/>
              <w:rPr>
                <w:sz w:val="24"/>
                <w:szCs w:val="24"/>
              </w:rPr>
            </w:pPr>
          </w:p>
        </w:tc>
        <w:tc>
          <w:tcPr>
            <w:tcW w:w="2268" w:type="dxa"/>
          </w:tcPr>
          <w:p w:rsidR="001936E4" w:rsidRPr="004E5ABB" w:rsidRDefault="001936E4" w:rsidP="001936E4">
            <w:pPr>
              <w:tabs>
                <w:tab w:val="num" w:pos="851"/>
                <w:tab w:val="center" w:pos="4153"/>
                <w:tab w:val="right" w:pos="8306"/>
              </w:tabs>
              <w:ind w:left="567" w:firstLine="567"/>
              <w:jc w:val="both"/>
              <w:rPr>
                <w:sz w:val="24"/>
                <w:szCs w:val="24"/>
              </w:rPr>
            </w:pPr>
          </w:p>
        </w:tc>
        <w:tc>
          <w:tcPr>
            <w:tcW w:w="3364" w:type="dxa"/>
          </w:tcPr>
          <w:p w:rsidR="001936E4" w:rsidRPr="004E5ABB" w:rsidRDefault="001936E4" w:rsidP="001936E4">
            <w:pPr>
              <w:tabs>
                <w:tab w:val="num" w:pos="851"/>
                <w:tab w:val="center" w:pos="4153"/>
                <w:tab w:val="right" w:pos="8306"/>
              </w:tabs>
              <w:jc w:val="both"/>
              <w:rPr>
                <w:sz w:val="24"/>
                <w:szCs w:val="24"/>
              </w:rPr>
            </w:pPr>
          </w:p>
        </w:tc>
        <w:tc>
          <w:tcPr>
            <w:tcW w:w="1739" w:type="dxa"/>
          </w:tcPr>
          <w:p w:rsidR="001936E4" w:rsidRPr="004E5ABB" w:rsidRDefault="001936E4" w:rsidP="001936E4">
            <w:pPr>
              <w:tabs>
                <w:tab w:val="num" w:pos="851"/>
                <w:tab w:val="center" w:pos="4153"/>
                <w:tab w:val="right" w:pos="8306"/>
              </w:tabs>
              <w:jc w:val="both"/>
              <w:rPr>
                <w:sz w:val="24"/>
                <w:szCs w:val="24"/>
              </w:rPr>
            </w:pPr>
          </w:p>
        </w:tc>
      </w:tr>
    </w:tbl>
    <w:p w:rsidR="001936E4" w:rsidRPr="004E5ABB" w:rsidRDefault="001936E4" w:rsidP="001936E4">
      <w:pPr>
        <w:jc w:val="both"/>
        <w:rPr>
          <w:sz w:val="24"/>
          <w:szCs w:val="24"/>
        </w:rPr>
      </w:pPr>
    </w:p>
    <w:p w:rsidR="001936E4" w:rsidRPr="004E5ABB" w:rsidRDefault="001936E4" w:rsidP="001936E4">
      <w:pPr>
        <w:pStyle w:val="ListParagraph"/>
        <w:numPr>
          <w:ilvl w:val="0"/>
          <w:numId w:val="4"/>
        </w:numPr>
        <w:spacing w:line="240" w:lineRule="auto"/>
        <w:jc w:val="both"/>
        <w:rPr>
          <w:sz w:val="24"/>
          <w:szCs w:val="24"/>
          <w:lang w:val="lv-LV"/>
        </w:rPr>
      </w:pPr>
      <w:r w:rsidRPr="004E5ABB">
        <w:rPr>
          <w:rFonts w:ascii="Times New Roman" w:hAnsi="Times New Roman"/>
          <w:sz w:val="24"/>
          <w:szCs w:val="24"/>
          <w:lang w:val="lv-LV"/>
        </w:rPr>
        <w:t xml:space="preserve">Sarunu procedūras nolikuma pielikuma Nr.2 </w:t>
      </w:r>
      <w:r>
        <w:rPr>
          <w:rFonts w:ascii="Times New Roman" w:hAnsi="Times New Roman"/>
          <w:sz w:val="24"/>
          <w:szCs w:val="24"/>
          <w:lang w:val="lv-LV"/>
        </w:rPr>
        <w:t xml:space="preserve">angļu valodā </w:t>
      </w:r>
      <w:r w:rsidRPr="004E5ABB">
        <w:rPr>
          <w:rFonts w:ascii="Times New Roman" w:hAnsi="Times New Roman"/>
          <w:sz w:val="24"/>
          <w:szCs w:val="24"/>
          <w:lang w:val="lv-LV"/>
        </w:rPr>
        <w:t>“ACKNOWLEDGMENT” 2.punktu un izsaka to šādā redakcijā:</w:t>
      </w:r>
    </w:p>
    <w:p w:rsidR="001936E4" w:rsidRPr="004E5ABB" w:rsidRDefault="001936E4" w:rsidP="001936E4">
      <w:pPr>
        <w:tabs>
          <w:tab w:val="left" w:pos="4500"/>
        </w:tabs>
        <w:jc w:val="both"/>
        <w:rPr>
          <w:sz w:val="16"/>
          <w:szCs w:val="16"/>
          <w:lang w:val="en-GB"/>
        </w:rPr>
      </w:pPr>
      <w:r>
        <w:rPr>
          <w:b/>
          <w:sz w:val="24"/>
          <w:szCs w:val="24"/>
        </w:rPr>
        <w:t>“</w:t>
      </w:r>
      <w:r w:rsidRPr="004E5ABB">
        <w:rPr>
          <w:sz w:val="24"/>
          <w:szCs w:val="24"/>
        </w:rPr>
        <w:t>2.</w:t>
      </w:r>
      <w:r w:rsidRPr="004E5ABB">
        <w:rPr>
          <w:sz w:val="24"/>
          <w:szCs w:val="24"/>
          <w:lang w:val="en-GB"/>
        </w:rPr>
        <w:t xml:space="preserve">We certify that within last five years we have had </w:t>
      </w:r>
      <w:r w:rsidRPr="004E5ABB">
        <w:rPr>
          <w:sz w:val="24"/>
          <w:lang w:val="en-GB" w:eastAsia="en-US"/>
        </w:rPr>
        <w:t>experience in functionally equivalent systems delivery, setting, installation and commissioning of radar systems of aerodromes</w:t>
      </w:r>
      <w:r>
        <w:rPr>
          <w:sz w:val="24"/>
          <w:lang w:val="en-GB" w:eastAsia="en-US"/>
        </w:rPr>
        <w:t>:</w:t>
      </w:r>
      <w:r w:rsidRPr="004E5ABB" w:rsidDel="001B4487">
        <w:rPr>
          <w:sz w:val="24"/>
          <w:szCs w:val="24"/>
          <w:lang w:val="en-GB"/>
        </w:rPr>
        <w:t xml:space="preserve"> </w:t>
      </w:r>
    </w:p>
    <w:tbl>
      <w:tblPr>
        <w:tblW w:w="91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2340"/>
        <w:gridCol w:w="2340"/>
        <w:gridCol w:w="2520"/>
      </w:tblGrid>
      <w:tr w:rsidR="001936E4" w:rsidRPr="004E5ABB" w:rsidTr="00CB5EA4">
        <w:trPr>
          <w:trHeight w:val="397"/>
        </w:trPr>
        <w:tc>
          <w:tcPr>
            <w:tcW w:w="1989" w:type="dxa"/>
          </w:tcPr>
          <w:p w:rsidR="001936E4" w:rsidRPr="004E5ABB" w:rsidRDefault="001936E4" w:rsidP="001936E4">
            <w:pPr>
              <w:tabs>
                <w:tab w:val="num" w:pos="851"/>
                <w:tab w:val="center" w:pos="4153"/>
                <w:tab w:val="right" w:pos="8306"/>
              </w:tabs>
              <w:jc w:val="center"/>
              <w:rPr>
                <w:sz w:val="24"/>
                <w:szCs w:val="24"/>
                <w:lang w:val="en-GB"/>
              </w:rPr>
            </w:pPr>
            <w:r w:rsidRPr="004E5ABB">
              <w:rPr>
                <w:sz w:val="24"/>
                <w:szCs w:val="24"/>
                <w:lang w:val="en-GB"/>
              </w:rPr>
              <w:t xml:space="preserve">Time </w:t>
            </w:r>
            <w:r>
              <w:rPr>
                <w:sz w:val="24"/>
                <w:szCs w:val="24"/>
                <w:lang w:val="en-GB"/>
              </w:rPr>
              <w:t xml:space="preserve">and place </w:t>
            </w:r>
            <w:r w:rsidRPr="004E5ABB">
              <w:rPr>
                <w:sz w:val="24"/>
                <w:szCs w:val="24"/>
                <w:lang w:val="en-GB"/>
              </w:rPr>
              <w:t>of delivery and installation</w:t>
            </w:r>
          </w:p>
        </w:tc>
        <w:tc>
          <w:tcPr>
            <w:tcW w:w="2340" w:type="dxa"/>
            <w:vAlign w:val="center"/>
          </w:tcPr>
          <w:p w:rsidR="001936E4" w:rsidRPr="004E5ABB" w:rsidRDefault="001936E4" w:rsidP="001936E4">
            <w:pPr>
              <w:tabs>
                <w:tab w:val="num" w:pos="851"/>
                <w:tab w:val="center" w:pos="4153"/>
                <w:tab w:val="right" w:pos="8306"/>
              </w:tabs>
              <w:jc w:val="center"/>
              <w:rPr>
                <w:sz w:val="24"/>
                <w:szCs w:val="24"/>
                <w:lang w:val="en-GB"/>
              </w:rPr>
            </w:pPr>
            <w:r w:rsidRPr="004E5ABB">
              <w:rPr>
                <w:sz w:val="24"/>
                <w:szCs w:val="24"/>
                <w:lang w:val="en-GB"/>
              </w:rPr>
              <w:t xml:space="preserve">Clients </w:t>
            </w:r>
          </w:p>
        </w:tc>
        <w:tc>
          <w:tcPr>
            <w:tcW w:w="2340" w:type="dxa"/>
            <w:vAlign w:val="center"/>
          </w:tcPr>
          <w:p w:rsidR="001936E4" w:rsidRPr="004E5ABB" w:rsidRDefault="00124D1F" w:rsidP="00F02622">
            <w:pPr>
              <w:tabs>
                <w:tab w:val="num" w:pos="851"/>
                <w:tab w:val="center" w:pos="4153"/>
                <w:tab w:val="right" w:pos="8306"/>
              </w:tabs>
              <w:jc w:val="center"/>
              <w:rPr>
                <w:sz w:val="24"/>
                <w:szCs w:val="24"/>
                <w:lang w:val="en-GB"/>
              </w:rPr>
            </w:pPr>
            <w:r>
              <w:rPr>
                <w:color w:val="222222"/>
                <w:sz w:val="24"/>
                <w:szCs w:val="24"/>
                <w:lang w:val="en"/>
              </w:rPr>
              <w:t xml:space="preserve">Name of device </w:t>
            </w:r>
            <w:r w:rsidR="00F02622">
              <w:rPr>
                <w:color w:val="222222"/>
                <w:sz w:val="24"/>
                <w:szCs w:val="24"/>
                <w:lang w:val="en"/>
              </w:rPr>
              <w:t>and m</w:t>
            </w:r>
            <w:r w:rsidR="001936E4" w:rsidRPr="004E5ABB">
              <w:rPr>
                <w:color w:val="222222"/>
                <w:sz w:val="24"/>
                <w:szCs w:val="24"/>
                <w:lang w:val="en"/>
              </w:rPr>
              <w:t>anufacturer</w:t>
            </w:r>
          </w:p>
        </w:tc>
        <w:tc>
          <w:tcPr>
            <w:tcW w:w="2520" w:type="dxa"/>
            <w:vAlign w:val="center"/>
          </w:tcPr>
          <w:p w:rsidR="001936E4" w:rsidRPr="004E5ABB" w:rsidRDefault="001936E4" w:rsidP="001936E4">
            <w:pPr>
              <w:tabs>
                <w:tab w:val="num" w:pos="851"/>
                <w:tab w:val="center" w:pos="4153"/>
                <w:tab w:val="right" w:pos="8306"/>
              </w:tabs>
              <w:ind w:left="-183" w:firstLine="183"/>
              <w:jc w:val="center"/>
              <w:rPr>
                <w:sz w:val="24"/>
                <w:szCs w:val="24"/>
                <w:lang w:val="en-GB"/>
              </w:rPr>
            </w:pPr>
            <w:r w:rsidRPr="004E5ABB">
              <w:rPr>
                <w:sz w:val="24"/>
                <w:szCs w:val="24"/>
                <w:lang w:val="en-GB"/>
              </w:rPr>
              <w:t>Point of contacts of the Client, phone number</w:t>
            </w:r>
          </w:p>
        </w:tc>
      </w:tr>
      <w:tr w:rsidR="001936E4" w:rsidRPr="004E5ABB" w:rsidTr="00CB5EA4">
        <w:trPr>
          <w:trHeight w:val="397"/>
        </w:trPr>
        <w:tc>
          <w:tcPr>
            <w:tcW w:w="1989" w:type="dxa"/>
          </w:tcPr>
          <w:p w:rsidR="001936E4" w:rsidRPr="004E5ABB" w:rsidRDefault="001936E4" w:rsidP="001936E4">
            <w:pPr>
              <w:tabs>
                <w:tab w:val="num" w:pos="851"/>
                <w:tab w:val="center" w:pos="4153"/>
                <w:tab w:val="right" w:pos="8306"/>
              </w:tabs>
              <w:ind w:left="567" w:firstLine="567"/>
              <w:jc w:val="both"/>
              <w:rPr>
                <w:sz w:val="24"/>
                <w:szCs w:val="24"/>
                <w:lang w:val="en-GB"/>
              </w:rPr>
            </w:pPr>
          </w:p>
        </w:tc>
        <w:tc>
          <w:tcPr>
            <w:tcW w:w="2340" w:type="dxa"/>
          </w:tcPr>
          <w:p w:rsidR="001936E4" w:rsidRPr="004E5ABB" w:rsidRDefault="001936E4" w:rsidP="001936E4">
            <w:pPr>
              <w:tabs>
                <w:tab w:val="num" w:pos="851"/>
                <w:tab w:val="center" w:pos="4153"/>
                <w:tab w:val="right" w:pos="8306"/>
              </w:tabs>
              <w:ind w:left="567" w:firstLine="567"/>
              <w:jc w:val="both"/>
              <w:rPr>
                <w:sz w:val="24"/>
                <w:szCs w:val="24"/>
                <w:lang w:val="en-GB"/>
              </w:rPr>
            </w:pPr>
          </w:p>
        </w:tc>
        <w:tc>
          <w:tcPr>
            <w:tcW w:w="2340" w:type="dxa"/>
          </w:tcPr>
          <w:p w:rsidR="001936E4" w:rsidRPr="004E5ABB" w:rsidRDefault="001936E4" w:rsidP="001936E4">
            <w:pPr>
              <w:tabs>
                <w:tab w:val="num" w:pos="851"/>
                <w:tab w:val="center" w:pos="4153"/>
                <w:tab w:val="right" w:pos="8306"/>
              </w:tabs>
              <w:jc w:val="both"/>
              <w:rPr>
                <w:sz w:val="24"/>
                <w:szCs w:val="24"/>
                <w:lang w:val="en-GB"/>
              </w:rPr>
            </w:pPr>
          </w:p>
        </w:tc>
        <w:tc>
          <w:tcPr>
            <w:tcW w:w="2520" w:type="dxa"/>
          </w:tcPr>
          <w:p w:rsidR="001936E4" w:rsidRPr="004E5ABB" w:rsidRDefault="001936E4" w:rsidP="001936E4">
            <w:pPr>
              <w:tabs>
                <w:tab w:val="num" w:pos="851"/>
                <w:tab w:val="center" w:pos="4153"/>
                <w:tab w:val="right" w:pos="8306"/>
              </w:tabs>
              <w:jc w:val="both"/>
              <w:rPr>
                <w:sz w:val="24"/>
                <w:szCs w:val="24"/>
                <w:lang w:val="en-GB"/>
              </w:rPr>
            </w:pPr>
          </w:p>
        </w:tc>
      </w:tr>
      <w:tr w:rsidR="001936E4" w:rsidRPr="004E5ABB" w:rsidTr="00CB5EA4">
        <w:trPr>
          <w:trHeight w:val="397"/>
        </w:trPr>
        <w:tc>
          <w:tcPr>
            <w:tcW w:w="1989" w:type="dxa"/>
          </w:tcPr>
          <w:p w:rsidR="001936E4" w:rsidRPr="004E5ABB" w:rsidRDefault="001936E4" w:rsidP="001936E4">
            <w:pPr>
              <w:tabs>
                <w:tab w:val="num" w:pos="851"/>
                <w:tab w:val="center" w:pos="4153"/>
                <w:tab w:val="right" w:pos="8306"/>
              </w:tabs>
              <w:ind w:left="567" w:firstLine="567"/>
              <w:jc w:val="both"/>
              <w:rPr>
                <w:sz w:val="24"/>
                <w:szCs w:val="24"/>
                <w:lang w:val="en-GB"/>
              </w:rPr>
            </w:pPr>
          </w:p>
        </w:tc>
        <w:tc>
          <w:tcPr>
            <w:tcW w:w="2340" w:type="dxa"/>
          </w:tcPr>
          <w:p w:rsidR="001936E4" w:rsidRPr="004E5ABB" w:rsidRDefault="001936E4" w:rsidP="001936E4">
            <w:pPr>
              <w:tabs>
                <w:tab w:val="num" w:pos="851"/>
                <w:tab w:val="center" w:pos="4153"/>
                <w:tab w:val="right" w:pos="8306"/>
              </w:tabs>
              <w:ind w:left="567" w:firstLine="567"/>
              <w:jc w:val="both"/>
              <w:rPr>
                <w:sz w:val="24"/>
                <w:szCs w:val="24"/>
                <w:lang w:val="en-GB"/>
              </w:rPr>
            </w:pPr>
          </w:p>
        </w:tc>
        <w:tc>
          <w:tcPr>
            <w:tcW w:w="2340" w:type="dxa"/>
          </w:tcPr>
          <w:p w:rsidR="001936E4" w:rsidRPr="004E5ABB" w:rsidRDefault="001936E4" w:rsidP="001936E4">
            <w:pPr>
              <w:tabs>
                <w:tab w:val="num" w:pos="851"/>
                <w:tab w:val="center" w:pos="4153"/>
                <w:tab w:val="right" w:pos="8306"/>
              </w:tabs>
              <w:jc w:val="both"/>
              <w:rPr>
                <w:sz w:val="24"/>
                <w:szCs w:val="24"/>
                <w:lang w:val="en-GB"/>
              </w:rPr>
            </w:pPr>
          </w:p>
        </w:tc>
        <w:tc>
          <w:tcPr>
            <w:tcW w:w="2520" w:type="dxa"/>
          </w:tcPr>
          <w:p w:rsidR="001936E4" w:rsidRPr="004E5ABB" w:rsidRDefault="001936E4" w:rsidP="001936E4">
            <w:pPr>
              <w:tabs>
                <w:tab w:val="num" w:pos="851"/>
                <w:tab w:val="center" w:pos="4153"/>
                <w:tab w:val="right" w:pos="8306"/>
              </w:tabs>
              <w:jc w:val="both"/>
              <w:rPr>
                <w:sz w:val="24"/>
                <w:szCs w:val="24"/>
                <w:lang w:val="en-GB"/>
              </w:rPr>
            </w:pPr>
          </w:p>
        </w:tc>
      </w:tr>
      <w:tr w:rsidR="001936E4" w:rsidRPr="004E5ABB" w:rsidTr="00CB5EA4">
        <w:trPr>
          <w:trHeight w:val="397"/>
        </w:trPr>
        <w:tc>
          <w:tcPr>
            <w:tcW w:w="1989" w:type="dxa"/>
          </w:tcPr>
          <w:p w:rsidR="001936E4" w:rsidRPr="004E5ABB" w:rsidRDefault="001936E4" w:rsidP="001936E4">
            <w:pPr>
              <w:tabs>
                <w:tab w:val="num" w:pos="851"/>
                <w:tab w:val="center" w:pos="4153"/>
                <w:tab w:val="right" w:pos="8306"/>
              </w:tabs>
              <w:ind w:left="567" w:firstLine="567"/>
              <w:jc w:val="both"/>
              <w:rPr>
                <w:sz w:val="24"/>
                <w:szCs w:val="24"/>
                <w:lang w:val="en-GB"/>
              </w:rPr>
            </w:pPr>
          </w:p>
        </w:tc>
        <w:tc>
          <w:tcPr>
            <w:tcW w:w="2340" w:type="dxa"/>
          </w:tcPr>
          <w:p w:rsidR="001936E4" w:rsidRPr="004E5ABB" w:rsidRDefault="001936E4" w:rsidP="001936E4">
            <w:pPr>
              <w:tabs>
                <w:tab w:val="num" w:pos="851"/>
                <w:tab w:val="center" w:pos="4153"/>
                <w:tab w:val="right" w:pos="8306"/>
              </w:tabs>
              <w:ind w:left="567" w:firstLine="567"/>
              <w:jc w:val="both"/>
              <w:rPr>
                <w:sz w:val="24"/>
                <w:szCs w:val="24"/>
                <w:lang w:val="en-GB"/>
              </w:rPr>
            </w:pPr>
          </w:p>
        </w:tc>
        <w:tc>
          <w:tcPr>
            <w:tcW w:w="2340" w:type="dxa"/>
          </w:tcPr>
          <w:p w:rsidR="001936E4" w:rsidRPr="004E5ABB" w:rsidRDefault="001936E4" w:rsidP="001936E4">
            <w:pPr>
              <w:tabs>
                <w:tab w:val="num" w:pos="851"/>
                <w:tab w:val="center" w:pos="4153"/>
                <w:tab w:val="right" w:pos="8306"/>
              </w:tabs>
              <w:jc w:val="both"/>
              <w:rPr>
                <w:sz w:val="24"/>
                <w:szCs w:val="24"/>
                <w:lang w:val="en-GB"/>
              </w:rPr>
            </w:pPr>
          </w:p>
        </w:tc>
        <w:tc>
          <w:tcPr>
            <w:tcW w:w="2520" w:type="dxa"/>
          </w:tcPr>
          <w:p w:rsidR="001936E4" w:rsidRPr="004E5ABB" w:rsidRDefault="001936E4" w:rsidP="001936E4">
            <w:pPr>
              <w:tabs>
                <w:tab w:val="num" w:pos="851"/>
                <w:tab w:val="center" w:pos="4153"/>
                <w:tab w:val="right" w:pos="8306"/>
              </w:tabs>
              <w:jc w:val="both"/>
              <w:rPr>
                <w:sz w:val="24"/>
                <w:szCs w:val="24"/>
                <w:lang w:val="en-GB"/>
              </w:rPr>
            </w:pPr>
          </w:p>
        </w:tc>
      </w:tr>
      <w:tr w:rsidR="001936E4" w:rsidRPr="004E5ABB" w:rsidTr="00CB5EA4">
        <w:trPr>
          <w:trHeight w:val="397"/>
        </w:trPr>
        <w:tc>
          <w:tcPr>
            <w:tcW w:w="1989" w:type="dxa"/>
          </w:tcPr>
          <w:p w:rsidR="001936E4" w:rsidRPr="004E5ABB" w:rsidRDefault="001936E4" w:rsidP="001936E4">
            <w:pPr>
              <w:tabs>
                <w:tab w:val="num" w:pos="851"/>
                <w:tab w:val="center" w:pos="4153"/>
                <w:tab w:val="right" w:pos="8306"/>
              </w:tabs>
              <w:ind w:left="567" w:firstLine="567"/>
              <w:jc w:val="both"/>
              <w:rPr>
                <w:sz w:val="24"/>
                <w:szCs w:val="24"/>
                <w:lang w:val="en-GB"/>
              </w:rPr>
            </w:pPr>
          </w:p>
        </w:tc>
        <w:tc>
          <w:tcPr>
            <w:tcW w:w="2340" w:type="dxa"/>
          </w:tcPr>
          <w:p w:rsidR="001936E4" w:rsidRPr="004E5ABB" w:rsidRDefault="001936E4" w:rsidP="001936E4">
            <w:pPr>
              <w:tabs>
                <w:tab w:val="num" w:pos="851"/>
                <w:tab w:val="center" w:pos="4153"/>
                <w:tab w:val="right" w:pos="8306"/>
              </w:tabs>
              <w:ind w:left="567" w:firstLine="567"/>
              <w:jc w:val="both"/>
              <w:rPr>
                <w:sz w:val="24"/>
                <w:szCs w:val="24"/>
                <w:lang w:val="en-GB"/>
              </w:rPr>
            </w:pPr>
          </w:p>
        </w:tc>
        <w:tc>
          <w:tcPr>
            <w:tcW w:w="2340" w:type="dxa"/>
          </w:tcPr>
          <w:p w:rsidR="001936E4" w:rsidRPr="004E5ABB" w:rsidRDefault="001936E4" w:rsidP="001936E4">
            <w:pPr>
              <w:tabs>
                <w:tab w:val="num" w:pos="851"/>
                <w:tab w:val="center" w:pos="4153"/>
                <w:tab w:val="right" w:pos="8306"/>
              </w:tabs>
              <w:jc w:val="both"/>
              <w:rPr>
                <w:sz w:val="24"/>
                <w:szCs w:val="24"/>
                <w:lang w:val="en-GB"/>
              </w:rPr>
            </w:pPr>
          </w:p>
        </w:tc>
        <w:tc>
          <w:tcPr>
            <w:tcW w:w="2520" w:type="dxa"/>
          </w:tcPr>
          <w:p w:rsidR="001936E4" w:rsidRPr="004E5ABB" w:rsidRDefault="001936E4" w:rsidP="001936E4">
            <w:pPr>
              <w:tabs>
                <w:tab w:val="num" w:pos="851"/>
                <w:tab w:val="center" w:pos="4153"/>
                <w:tab w:val="right" w:pos="8306"/>
              </w:tabs>
              <w:jc w:val="both"/>
              <w:rPr>
                <w:sz w:val="24"/>
                <w:szCs w:val="24"/>
                <w:lang w:val="en-GB"/>
              </w:rPr>
            </w:pPr>
          </w:p>
        </w:tc>
      </w:tr>
    </w:tbl>
    <w:p w:rsidR="001936E4" w:rsidRDefault="001936E4"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Default="0051538F" w:rsidP="001936E4">
      <w:pPr>
        <w:tabs>
          <w:tab w:val="left" w:pos="2160"/>
        </w:tabs>
        <w:ind w:left="208"/>
        <w:jc w:val="both"/>
        <w:rPr>
          <w:sz w:val="16"/>
          <w:szCs w:val="16"/>
          <w:lang w:val="en-GB"/>
        </w:rPr>
      </w:pPr>
    </w:p>
    <w:p w:rsidR="0051538F" w:rsidRPr="004E5ABB" w:rsidRDefault="0051538F" w:rsidP="001936E4">
      <w:pPr>
        <w:tabs>
          <w:tab w:val="left" w:pos="2160"/>
        </w:tabs>
        <w:ind w:left="208"/>
        <w:jc w:val="both"/>
        <w:rPr>
          <w:sz w:val="16"/>
          <w:szCs w:val="16"/>
          <w:lang w:val="en-GB"/>
        </w:rPr>
      </w:pPr>
    </w:p>
    <w:p w:rsidR="001936E4" w:rsidRDefault="001936E4" w:rsidP="001936E4">
      <w:pPr>
        <w:pStyle w:val="ListParagraph"/>
        <w:numPr>
          <w:ilvl w:val="0"/>
          <w:numId w:val="4"/>
        </w:numPr>
        <w:spacing w:line="240" w:lineRule="auto"/>
        <w:jc w:val="both"/>
        <w:rPr>
          <w:rFonts w:ascii="Times New Roman" w:hAnsi="Times New Roman"/>
          <w:sz w:val="24"/>
          <w:szCs w:val="24"/>
        </w:rPr>
      </w:pPr>
      <w:proofErr w:type="spellStart"/>
      <w:r>
        <w:rPr>
          <w:rFonts w:ascii="Times New Roman" w:hAnsi="Times New Roman"/>
          <w:sz w:val="24"/>
          <w:szCs w:val="24"/>
        </w:rPr>
        <w:lastRenderedPageBreak/>
        <w:t>Izsaka</w:t>
      </w:r>
      <w:proofErr w:type="spellEnd"/>
      <w:r>
        <w:rPr>
          <w:rFonts w:ascii="Times New Roman" w:hAnsi="Times New Roman"/>
          <w:sz w:val="24"/>
          <w:szCs w:val="24"/>
        </w:rPr>
        <w:t xml:space="preserve"> </w:t>
      </w:r>
      <w:proofErr w:type="spellStart"/>
      <w:r>
        <w:rPr>
          <w:rFonts w:ascii="Times New Roman" w:hAnsi="Times New Roman"/>
          <w:sz w:val="24"/>
          <w:szCs w:val="24"/>
        </w:rPr>
        <w:t>nolikuma</w:t>
      </w:r>
      <w:proofErr w:type="spellEnd"/>
      <w:r>
        <w:rPr>
          <w:rFonts w:ascii="Times New Roman" w:hAnsi="Times New Roman"/>
          <w:sz w:val="24"/>
          <w:szCs w:val="24"/>
        </w:rPr>
        <w:t xml:space="preserve"> 3.4. </w:t>
      </w:r>
      <w:proofErr w:type="spellStart"/>
      <w:r>
        <w:rPr>
          <w:rFonts w:ascii="Times New Roman" w:hAnsi="Times New Roman"/>
          <w:sz w:val="24"/>
          <w:szCs w:val="24"/>
        </w:rPr>
        <w:t>punktu</w:t>
      </w:r>
      <w:proofErr w:type="spellEnd"/>
      <w:r>
        <w:rPr>
          <w:rFonts w:ascii="Times New Roman" w:hAnsi="Times New Roman"/>
          <w:sz w:val="24"/>
          <w:szCs w:val="24"/>
        </w:rPr>
        <w:t xml:space="preserve"> </w:t>
      </w:r>
      <w:proofErr w:type="spellStart"/>
      <w:r>
        <w:rPr>
          <w:rFonts w:ascii="Times New Roman" w:hAnsi="Times New Roman"/>
          <w:sz w:val="24"/>
          <w:szCs w:val="24"/>
        </w:rPr>
        <w:t>šādā</w:t>
      </w:r>
      <w:proofErr w:type="spellEnd"/>
      <w:r>
        <w:rPr>
          <w:rFonts w:ascii="Times New Roman" w:hAnsi="Times New Roman"/>
          <w:sz w:val="24"/>
          <w:szCs w:val="24"/>
        </w:rPr>
        <w:t xml:space="preserve"> </w:t>
      </w:r>
      <w:proofErr w:type="spellStart"/>
      <w:r>
        <w:rPr>
          <w:rFonts w:ascii="Times New Roman" w:hAnsi="Times New Roman"/>
          <w:sz w:val="24"/>
          <w:szCs w:val="24"/>
        </w:rPr>
        <w:t>redakcijā</w:t>
      </w:r>
      <w:proofErr w:type="spellEnd"/>
      <w:r>
        <w:rPr>
          <w:rFonts w:ascii="Times New Roman" w:hAnsi="Times New Roman"/>
          <w:sz w:val="24"/>
          <w:szCs w:val="24"/>
        </w:rPr>
        <w:t>:</w:t>
      </w:r>
    </w:p>
    <w:tbl>
      <w:tblPr>
        <w:tblStyle w:val="TableGrid"/>
        <w:tblW w:w="0" w:type="auto"/>
        <w:tblInd w:w="643" w:type="dxa"/>
        <w:tblLook w:val="04A0" w:firstRow="1" w:lastRow="0" w:firstColumn="1" w:lastColumn="0" w:noHBand="0" w:noVBand="1"/>
      </w:tblPr>
      <w:tblGrid>
        <w:gridCol w:w="3832"/>
        <w:gridCol w:w="3821"/>
      </w:tblGrid>
      <w:tr w:rsidR="001936E4" w:rsidTr="00CB5EA4">
        <w:trPr>
          <w:trHeight w:val="8683"/>
        </w:trPr>
        <w:tc>
          <w:tcPr>
            <w:tcW w:w="4531" w:type="dxa"/>
          </w:tcPr>
          <w:p w:rsidR="001936E4" w:rsidRPr="00E928CD" w:rsidRDefault="001936E4" w:rsidP="001936E4">
            <w:pPr>
              <w:ind w:left="488" w:hanging="312"/>
              <w:jc w:val="both"/>
              <w:rPr>
                <w:sz w:val="24"/>
                <w:szCs w:val="24"/>
              </w:rPr>
            </w:pPr>
            <w:r>
              <w:rPr>
                <w:sz w:val="24"/>
                <w:szCs w:val="24"/>
              </w:rPr>
              <w:t xml:space="preserve">3.4. </w:t>
            </w:r>
            <w:r w:rsidRPr="00E928CD">
              <w:rPr>
                <w:sz w:val="24"/>
                <w:szCs w:val="24"/>
              </w:rPr>
              <w:t xml:space="preserve">Būvprojekta izstrādātājam, Būvdarbu veicējam un Autoruzraudzības veicējam jāatbilst Būvniecības likuma </w:t>
            </w:r>
            <w:proofErr w:type="gramStart"/>
            <w:r w:rsidRPr="00E928CD">
              <w:rPr>
                <w:sz w:val="24"/>
                <w:szCs w:val="24"/>
              </w:rPr>
              <w:t>22.panta</w:t>
            </w:r>
            <w:proofErr w:type="gramEnd"/>
            <w:r w:rsidRPr="00E928CD">
              <w:rPr>
                <w:sz w:val="24"/>
                <w:szCs w:val="24"/>
              </w:rPr>
              <w:t xml:space="preserve"> pirmajai un otrajai daļai un Pretendenta izraudzītajiem speciālistiem atbilstoši Būvniecības likuma 13.pantam jābūt patstāvīgas prakses tiesībām šādās būvniecības jomās un darbības sfērās:</w:t>
            </w:r>
          </w:p>
          <w:p w:rsidR="001936E4" w:rsidRPr="00E928CD" w:rsidRDefault="001936E4" w:rsidP="001936E4">
            <w:pPr>
              <w:numPr>
                <w:ilvl w:val="2"/>
                <w:numId w:val="5"/>
              </w:numPr>
              <w:ind w:left="1055" w:hanging="850"/>
              <w:contextualSpacing/>
              <w:jc w:val="both"/>
              <w:rPr>
                <w:sz w:val="24"/>
                <w:szCs w:val="24"/>
              </w:rPr>
            </w:pPr>
            <w:r w:rsidRPr="00E928CD">
              <w:rPr>
                <w:sz w:val="24"/>
                <w:szCs w:val="24"/>
              </w:rPr>
              <w:t>arhitekta prakse;</w:t>
            </w:r>
          </w:p>
          <w:p w:rsidR="001936E4" w:rsidRPr="00E928CD" w:rsidRDefault="001936E4" w:rsidP="001936E4">
            <w:pPr>
              <w:numPr>
                <w:ilvl w:val="2"/>
                <w:numId w:val="5"/>
              </w:numPr>
              <w:ind w:left="1055" w:hanging="850"/>
              <w:contextualSpacing/>
              <w:jc w:val="both"/>
              <w:rPr>
                <w:sz w:val="24"/>
                <w:szCs w:val="24"/>
              </w:rPr>
            </w:pPr>
            <w:r w:rsidRPr="00E928CD">
              <w:rPr>
                <w:sz w:val="24"/>
                <w:szCs w:val="24"/>
              </w:rPr>
              <w:t>ēku konstrukciju projektēšana;</w:t>
            </w:r>
          </w:p>
          <w:p w:rsidR="001936E4" w:rsidRPr="00E928CD" w:rsidRDefault="001936E4" w:rsidP="001936E4">
            <w:pPr>
              <w:numPr>
                <w:ilvl w:val="2"/>
                <w:numId w:val="5"/>
              </w:numPr>
              <w:ind w:left="1055" w:hanging="850"/>
              <w:contextualSpacing/>
              <w:jc w:val="both"/>
              <w:rPr>
                <w:sz w:val="24"/>
                <w:szCs w:val="24"/>
              </w:rPr>
            </w:pPr>
            <w:r w:rsidRPr="00E928CD">
              <w:rPr>
                <w:sz w:val="24"/>
                <w:szCs w:val="24"/>
              </w:rPr>
              <w:t>elektronisko sakaru sistēmu un tīklu projektēšana;</w:t>
            </w:r>
          </w:p>
          <w:p w:rsidR="001936E4" w:rsidRPr="00E928CD" w:rsidRDefault="001936E4" w:rsidP="001936E4">
            <w:pPr>
              <w:numPr>
                <w:ilvl w:val="2"/>
                <w:numId w:val="5"/>
              </w:numPr>
              <w:ind w:left="1055" w:hanging="850"/>
              <w:contextualSpacing/>
              <w:jc w:val="both"/>
              <w:rPr>
                <w:sz w:val="24"/>
                <w:szCs w:val="24"/>
              </w:rPr>
            </w:pPr>
            <w:r w:rsidRPr="00E928CD">
              <w:rPr>
                <w:sz w:val="24"/>
                <w:szCs w:val="24"/>
              </w:rPr>
              <w:t>elektroietaišu projektēšana;</w:t>
            </w:r>
          </w:p>
          <w:p w:rsidR="001936E4" w:rsidRPr="00E928CD" w:rsidRDefault="001936E4" w:rsidP="001936E4">
            <w:pPr>
              <w:numPr>
                <w:ilvl w:val="2"/>
                <w:numId w:val="5"/>
              </w:numPr>
              <w:ind w:left="1055" w:hanging="850"/>
              <w:contextualSpacing/>
              <w:jc w:val="both"/>
              <w:rPr>
                <w:sz w:val="24"/>
                <w:szCs w:val="24"/>
              </w:rPr>
            </w:pPr>
            <w:r w:rsidRPr="00E928CD">
              <w:rPr>
                <w:sz w:val="24"/>
                <w:szCs w:val="24"/>
              </w:rPr>
              <w:t>ēku būvdarbu vadīšana;</w:t>
            </w:r>
          </w:p>
          <w:p w:rsidR="001936E4" w:rsidRPr="00E928CD" w:rsidRDefault="001936E4" w:rsidP="001936E4">
            <w:pPr>
              <w:numPr>
                <w:ilvl w:val="2"/>
                <w:numId w:val="5"/>
              </w:numPr>
              <w:ind w:left="1055" w:hanging="850"/>
              <w:contextualSpacing/>
              <w:jc w:val="both"/>
              <w:rPr>
                <w:sz w:val="24"/>
                <w:szCs w:val="24"/>
              </w:rPr>
            </w:pPr>
            <w:r w:rsidRPr="00E928CD">
              <w:rPr>
                <w:sz w:val="24"/>
                <w:szCs w:val="24"/>
              </w:rPr>
              <w:t>elektronisko sakaru sistēmu un tīklu būvdarbu vadīšana;</w:t>
            </w:r>
          </w:p>
          <w:p w:rsidR="001936E4" w:rsidRPr="00E928CD" w:rsidRDefault="001936E4" w:rsidP="001936E4">
            <w:pPr>
              <w:numPr>
                <w:ilvl w:val="2"/>
                <w:numId w:val="5"/>
              </w:numPr>
              <w:ind w:left="1055" w:hanging="850"/>
              <w:contextualSpacing/>
              <w:jc w:val="both"/>
              <w:rPr>
                <w:sz w:val="24"/>
                <w:szCs w:val="24"/>
              </w:rPr>
            </w:pPr>
            <w:r w:rsidRPr="00E928CD">
              <w:rPr>
                <w:sz w:val="24"/>
                <w:szCs w:val="24"/>
              </w:rPr>
              <w:t>elektroietaišu būvdarbu vadīšana;</w:t>
            </w:r>
          </w:p>
          <w:p w:rsidR="001936E4" w:rsidRPr="00E928CD" w:rsidRDefault="001936E4" w:rsidP="001936E4">
            <w:pPr>
              <w:numPr>
                <w:ilvl w:val="2"/>
                <w:numId w:val="5"/>
              </w:numPr>
              <w:ind w:left="1055" w:hanging="850"/>
              <w:contextualSpacing/>
              <w:jc w:val="both"/>
              <w:rPr>
                <w:sz w:val="24"/>
                <w:szCs w:val="24"/>
              </w:rPr>
            </w:pPr>
            <w:r w:rsidRPr="00E928CD">
              <w:rPr>
                <w:sz w:val="24"/>
                <w:szCs w:val="24"/>
              </w:rPr>
              <w:t>ceļu projektēšana;</w:t>
            </w:r>
          </w:p>
          <w:p w:rsidR="001936E4" w:rsidRPr="00E928CD" w:rsidRDefault="001936E4" w:rsidP="001936E4">
            <w:pPr>
              <w:numPr>
                <w:ilvl w:val="2"/>
                <w:numId w:val="5"/>
              </w:numPr>
              <w:ind w:left="1055" w:hanging="850"/>
              <w:contextualSpacing/>
              <w:jc w:val="both"/>
              <w:rPr>
                <w:sz w:val="24"/>
                <w:szCs w:val="24"/>
              </w:rPr>
            </w:pPr>
            <w:r w:rsidRPr="00E928CD">
              <w:rPr>
                <w:sz w:val="24"/>
                <w:szCs w:val="24"/>
              </w:rPr>
              <w:t>ceļu būvdarbu vadīšana.</w:t>
            </w:r>
          </w:p>
          <w:p w:rsidR="001936E4" w:rsidRPr="00E928CD" w:rsidRDefault="001936E4" w:rsidP="001936E4">
            <w:pPr>
              <w:jc w:val="both"/>
              <w:rPr>
                <w:sz w:val="24"/>
                <w:szCs w:val="24"/>
                <w:highlight w:val="yellow"/>
              </w:rPr>
            </w:pPr>
          </w:p>
          <w:p w:rsidR="001936E4" w:rsidRDefault="001936E4" w:rsidP="001936E4">
            <w:pPr>
              <w:pStyle w:val="ListParagraph"/>
              <w:spacing w:line="240" w:lineRule="auto"/>
              <w:ind w:left="0"/>
              <w:jc w:val="both"/>
              <w:rPr>
                <w:rFonts w:ascii="Times New Roman" w:hAnsi="Times New Roman"/>
                <w:sz w:val="24"/>
                <w:szCs w:val="24"/>
              </w:rPr>
            </w:pPr>
          </w:p>
        </w:tc>
        <w:tc>
          <w:tcPr>
            <w:tcW w:w="4531" w:type="dxa"/>
          </w:tcPr>
          <w:p w:rsidR="001936E4" w:rsidRPr="00E928CD" w:rsidRDefault="001936E4" w:rsidP="001936E4">
            <w:pPr>
              <w:widowControl w:val="0"/>
              <w:ind w:left="360" w:right="103"/>
              <w:contextualSpacing/>
              <w:jc w:val="both"/>
              <w:rPr>
                <w:sz w:val="24"/>
                <w:szCs w:val="24"/>
                <w:lang w:val="en-US"/>
              </w:rPr>
            </w:pPr>
            <w:r>
              <w:rPr>
                <w:sz w:val="24"/>
                <w:szCs w:val="24"/>
                <w:lang w:val="en-US"/>
              </w:rPr>
              <w:t xml:space="preserve">3.4. </w:t>
            </w:r>
            <w:r w:rsidRPr="00E928CD">
              <w:rPr>
                <w:sz w:val="24"/>
                <w:szCs w:val="24"/>
                <w:lang w:val="en-US"/>
              </w:rPr>
              <w:t>The developer of construction plan, construction performer and authorial supervisor must meet the criteria laid out in Part 2 and 3 of Art.22 of Latvia’s Construction law and in accordance with Art.13 of Construction law specialists of the tenderer must hold rights of individual practice in the following fields:</w:t>
            </w:r>
          </w:p>
          <w:p w:rsidR="001936E4" w:rsidRPr="001936E4" w:rsidRDefault="001936E4" w:rsidP="001936E4">
            <w:pPr>
              <w:pStyle w:val="ListParagraph"/>
              <w:widowControl w:val="0"/>
              <w:numPr>
                <w:ilvl w:val="2"/>
                <w:numId w:val="7"/>
              </w:numPr>
              <w:ind w:right="103"/>
              <w:jc w:val="both"/>
              <w:rPr>
                <w:rFonts w:ascii="Times New Roman" w:hAnsi="Times New Roman"/>
                <w:sz w:val="24"/>
                <w:szCs w:val="24"/>
              </w:rPr>
            </w:pPr>
            <w:r w:rsidRPr="001936E4">
              <w:rPr>
                <w:rFonts w:ascii="Times New Roman" w:hAnsi="Times New Roman"/>
                <w:sz w:val="24"/>
                <w:szCs w:val="24"/>
              </w:rPr>
              <w:t>Architect’s practice;</w:t>
            </w:r>
          </w:p>
          <w:p w:rsidR="001936E4" w:rsidRPr="001936E4" w:rsidRDefault="001936E4" w:rsidP="001936E4">
            <w:pPr>
              <w:pStyle w:val="ListParagraph"/>
              <w:widowControl w:val="0"/>
              <w:numPr>
                <w:ilvl w:val="2"/>
                <w:numId w:val="7"/>
              </w:numPr>
              <w:ind w:right="103"/>
              <w:jc w:val="both"/>
              <w:rPr>
                <w:rFonts w:ascii="Times New Roman" w:hAnsi="Times New Roman"/>
                <w:sz w:val="24"/>
                <w:szCs w:val="24"/>
              </w:rPr>
            </w:pPr>
            <w:r w:rsidRPr="001936E4">
              <w:rPr>
                <w:rFonts w:ascii="Times New Roman" w:hAnsi="Times New Roman"/>
                <w:sz w:val="24"/>
                <w:szCs w:val="24"/>
              </w:rPr>
              <w:t>Designing of building construction;</w:t>
            </w:r>
          </w:p>
          <w:p w:rsidR="001936E4" w:rsidRPr="001936E4" w:rsidRDefault="001936E4" w:rsidP="001936E4">
            <w:pPr>
              <w:pStyle w:val="ListParagraph"/>
              <w:widowControl w:val="0"/>
              <w:numPr>
                <w:ilvl w:val="2"/>
                <w:numId w:val="7"/>
              </w:numPr>
              <w:ind w:right="103"/>
              <w:jc w:val="both"/>
              <w:rPr>
                <w:rFonts w:ascii="Times New Roman" w:hAnsi="Times New Roman"/>
                <w:sz w:val="24"/>
                <w:szCs w:val="24"/>
              </w:rPr>
            </w:pPr>
            <w:r w:rsidRPr="001936E4">
              <w:rPr>
                <w:rFonts w:ascii="Times New Roman" w:hAnsi="Times New Roman"/>
                <w:sz w:val="24"/>
                <w:szCs w:val="24"/>
              </w:rPr>
              <w:t>Designing of electronic communication systems and networks;</w:t>
            </w:r>
          </w:p>
          <w:p w:rsidR="001936E4" w:rsidRPr="001936E4" w:rsidRDefault="001936E4" w:rsidP="001936E4">
            <w:pPr>
              <w:pStyle w:val="ListParagraph"/>
              <w:widowControl w:val="0"/>
              <w:numPr>
                <w:ilvl w:val="2"/>
                <w:numId w:val="7"/>
              </w:numPr>
              <w:ind w:right="103"/>
              <w:jc w:val="both"/>
              <w:rPr>
                <w:rFonts w:ascii="Times New Roman" w:hAnsi="Times New Roman"/>
                <w:sz w:val="24"/>
                <w:szCs w:val="24"/>
              </w:rPr>
            </w:pPr>
            <w:r w:rsidRPr="001936E4">
              <w:rPr>
                <w:rFonts w:ascii="Times New Roman" w:hAnsi="Times New Roman"/>
                <w:sz w:val="24"/>
                <w:szCs w:val="24"/>
              </w:rPr>
              <w:t>Designing of power supply and electric installations;</w:t>
            </w:r>
          </w:p>
          <w:p w:rsidR="001936E4" w:rsidRPr="001936E4" w:rsidRDefault="001936E4" w:rsidP="001936E4">
            <w:pPr>
              <w:pStyle w:val="ListParagraph"/>
              <w:widowControl w:val="0"/>
              <w:numPr>
                <w:ilvl w:val="2"/>
                <w:numId w:val="7"/>
              </w:numPr>
              <w:ind w:right="103"/>
              <w:jc w:val="both"/>
              <w:rPr>
                <w:rFonts w:ascii="Times New Roman" w:hAnsi="Times New Roman"/>
                <w:sz w:val="24"/>
                <w:szCs w:val="24"/>
              </w:rPr>
            </w:pPr>
            <w:r w:rsidRPr="001936E4">
              <w:rPr>
                <w:rFonts w:ascii="Times New Roman" w:hAnsi="Times New Roman"/>
                <w:sz w:val="24"/>
                <w:szCs w:val="24"/>
              </w:rPr>
              <w:t>Building construction management;</w:t>
            </w:r>
          </w:p>
          <w:p w:rsidR="001936E4" w:rsidRPr="001936E4" w:rsidRDefault="001936E4" w:rsidP="001936E4">
            <w:pPr>
              <w:pStyle w:val="ListParagraph"/>
              <w:widowControl w:val="0"/>
              <w:numPr>
                <w:ilvl w:val="2"/>
                <w:numId w:val="7"/>
              </w:numPr>
              <w:ind w:right="103"/>
              <w:jc w:val="both"/>
              <w:rPr>
                <w:rFonts w:ascii="Times New Roman" w:hAnsi="Times New Roman"/>
                <w:sz w:val="24"/>
                <w:szCs w:val="24"/>
              </w:rPr>
            </w:pPr>
            <w:r w:rsidRPr="001936E4">
              <w:rPr>
                <w:rFonts w:ascii="Times New Roman" w:hAnsi="Times New Roman"/>
                <w:sz w:val="24"/>
                <w:szCs w:val="24"/>
              </w:rPr>
              <w:t>Electronic communication system and network construction management;</w:t>
            </w:r>
          </w:p>
          <w:p w:rsidR="001936E4" w:rsidRPr="001936E4" w:rsidRDefault="001936E4" w:rsidP="001936E4">
            <w:pPr>
              <w:pStyle w:val="ListParagraph"/>
              <w:widowControl w:val="0"/>
              <w:numPr>
                <w:ilvl w:val="2"/>
                <w:numId w:val="7"/>
              </w:numPr>
              <w:ind w:right="103"/>
              <w:jc w:val="both"/>
              <w:rPr>
                <w:rFonts w:ascii="Times New Roman" w:hAnsi="Times New Roman"/>
                <w:sz w:val="24"/>
                <w:szCs w:val="24"/>
              </w:rPr>
            </w:pPr>
            <w:r w:rsidRPr="001936E4">
              <w:rPr>
                <w:rFonts w:ascii="Times New Roman" w:hAnsi="Times New Roman"/>
                <w:sz w:val="24"/>
                <w:szCs w:val="24"/>
              </w:rPr>
              <w:t>Power supply and electric installation construction management;</w:t>
            </w:r>
          </w:p>
          <w:p w:rsidR="001936E4" w:rsidRPr="001936E4" w:rsidRDefault="001936E4" w:rsidP="001936E4">
            <w:pPr>
              <w:pStyle w:val="ListParagraph"/>
              <w:widowControl w:val="0"/>
              <w:numPr>
                <w:ilvl w:val="2"/>
                <w:numId w:val="7"/>
              </w:numPr>
              <w:ind w:right="103"/>
              <w:jc w:val="both"/>
              <w:rPr>
                <w:rFonts w:ascii="Times New Roman" w:hAnsi="Times New Roman"/>
                <w:sz w:val="24"/>
                <w:szCs w:val="24"/>
              </w:rPr>
            </w:pPr>
            <w:r w:rsidRPr="001936E4">
              <w:rPr>
                <w:rFonts w:ascii="Times New Roman" w:hAnsi="Times New Roman"/>
                <w:sz w:val="24"/>
                <w:szCs w:val="24"/>
              </w:rPr>
              <w:t>Designing of roads;</w:t>
            </w:r>
          </w:p>
          <w:p w:rsidR="001936E4" w:rsidRPr="001936E4" w:rsidRDefault="001936E4" w:rsidP="001936E4">
            <w:pPr>
              <w:pStyle w:val="ListParagraph"/>
              <w:widowControl w:val="0"/>
              <w:numPr>
                <w:ilvl w:val="2"/>
                <w:numId w:val="7"/>
              </w:numPr>
              <w:ind w:right="103"/>
              <w:jc w:val="both"/>
              <w:rPr>
                <w:rFonts w:ascii="Times New Roman" w:hAnsi="Times New Roman"/>
                <w:sz w:val="24"/>
                <w:szCs w:val="24"/>
              </w:rPr>
            </w:pPr>
            <w:r w:rsidRPr="001936E4">
              <w:rPr>
                <w:rFonts w:ascii="Times New Roman" w:hAnsi="Times New Roman"/>
                <w:sz w:val="24"/>
                <w:szCs w:val="24"/>
              </w:rPr>
              <w:t>Roads construction management.</w:t>
            </w:r>
          </w:p>
          <w:p w:rsidR="001936E4" w:rsidRDefault="001936E4" w:rsidP="001936E4">
            <w:pPr>
              <w:pStyle w:val="ListParagraph"/>
              <w:spacing w:line="240" w:lineRule="auto"/>
              <w:ind w:left="0"/>
              <w:jc w:val="both"/>
              <w:rPr>
                <w:rFonts w:ascii="Times New Roman" w:hAnsi="Times New Roman"/>
                <w:sz w:val="24"/>
                <w:szCs w:val="24"/>
              </w:rPr>
            </w:pPr>
          </w:p>
        </w:tc>
      </w:tr>
    </w:tbl>
    <w:p w:rsidR="00D450B5" w:rsidRDefault="00D450B5" w:rsidP="001936E4"/>
    <w:sectPr w:rsidR="00D450B5" w:rsidSect="001936E4">
      <w:pgSz w:w="11906" w:h="16838"/>
      <w:pgMar w:top="1440"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34B"/>
    <w:multiLevelType w:val="hybridMultilevel"/>
    <w:tmpl w:val="7876D620"/>
    <w:lvl w:ilvl="0" w:tplc="E7647B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2700674"/>
    <w:multiLevelType w:val="multilevel"/>
    <w:tmpl w:val="66D8DBB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D95BEA"/>
    <w:multiLevelType w:val="multilevel"/>
    <w:tmpl w:val="7DAE1822"/>
    <w:lvl w:ilvl="0">
      <w:start w:val="3"/>
      <w:numFmt w:val="decimal"/>
      <w:lvlText w:val="%1."/>
      <w:lvlJc w:val="left"/>
      <w:pPr>
        <w:ind w:left="585" w:hanging="585"/>
      </w:pPr>
      <w:rPr>
        <w:rFonts w:hint="default"/>
        <w:b/>
      </w:rPr>
    </w:lvl>
    <w:lvl w:ilvl="1">
      <w:start w:val="4"/>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5A9C5211"/>
    <w:multiLevelType w:val="multilevel"/>
    <w:tmpl w:val="E43672E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C155286"/>
    <w:multiLevelType w:val="hybridMultilevel"/>
    <w:tmpl w:val="50E836AE"/>
    <w:lvl w:ilvl="0" w:tplc="1082BE2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CB21CE"/>
    <w:multiLevelType w:val="multilevel"/>
    <w:tmpl w:val="DCF0A0FE"/>
    <w:lvl w:ilvl="0">
      <w:start w:val="2"/>
      <w:numFmt w:val="decimal"/>
      <w:lvlText w:val="%1."/>
      <w:lvlJc w:val="left"/>
      <w:pPr>
        <w:tabs>
          <w:tab w:val="num" w:pos="643"/>
        </w:tabs>
        <w:ind w:left="643" w:hanging="360"/>
      </w:pPr>
      <w:rPr>
        <w:rFonts w:ascii="Times New Roman" w:hAnsi="Times New Roman" w:cs="Times New Roman"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6" w15:restartNumberingAfterBreak="0">
    <w:nsid w:val="682223DF"/>
    <w:multiLevelType w:val="hybridMultilevel"/>
    <w:tmpl w:val="E08025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E4"/>
    <w:rsid w:val="00124D1F"/>
    <w:rsid w:val="001936E4"/>
    <w:rsid w:val="0051538F"/>
    <w:rsid w:val="005308F7"/>
    <w:rsid w:val="00564B76"/>
    <w:rsid w:val="005D0C99"/>
    <w:rsid w:val="00733929"/>
    <w:rsid w:val="00A20C9F"/>
    <w:rsid w:val="00AD44AA"/>
    <w:rsid w:val="00AF0602"/>
    <w:rsid w:val="00CA1A96"/>
    <w:rsid w:val="00D25971"/>
    <w:rsid w:val="00D450B5"/>
    <w:rsid w:val="00F02622"/>
    <w:rsid w:val="00F424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D56E7-ADAC-4A6F-A601-3AF4F230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E4"/>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36E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Syle 1,Normal bullet 2,Bullet list"/>
    <w:basedOn w:val="Normal"/>
    <w:link w:val="ListParagraphChar"/>
    <w:uiPriority w:val="34"/>
    <w:qFormat/>
    <w:rsid w:val="001936E4"/>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2 Char,Strip Char,H&amp;P List Paragraph Char,Syle 1 Char,Normal bullet 2 Char,Bullet list Char"/>
    <w:link w:val="ListParagraph"/>
    <w:uiPriority w:val="34"/>
    <w:locked/>
    <w:rsid w:val="001936E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6479</Words>
  <Characters>3694</Characters>
  <Application>Microsoft Office Word</Application>
  <DocSecurity>0</DocSecurity>
  <Lines>30</Lines>
  <Paragraphs>20</Paragraphs>
  <ScaleCrop>false</ScaleCrop>
  <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Ozola</dc:creator>
  <cp:keywords/>
  <dc:description/>
  <cp:lastModifiedBy>Inese Ozola</cp:lastModifiedBy>
  <cp:revision>18</cp:revision>
  <dcterms:created xsi:type="dcterms:W3CDTF">2018-06-25T07:57:00Z</dcterms:created>
  <dcterms:modified xsi:type="dcterms:W3CDTF">2018-06-25T10:34:00Z</dcterms:modified>
</cp:coreProperties>
</file>