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61E" w:rsidRPr="00DA561E" w:rsidRDefault="00DA561E" w:rsidP="00DA561E">
      <w:pPr>
        <w:ind w:left="360" w:hanging="360"/>
        <w:jc w:val="center"/>
        <w:rPr>
          <w:rFonts w:eastAsia="Times New Roman" w:cs="Times New Roman"/>
          <w:b/>
          <w:lang w:eastAsia="en-US"/>
        </w:rPr>
      </w:pPr>
      <w:r w:rsidRPr="00DA561E">
        <w:rPr>
          <w:rFonts w:eastAsia="Times New Roman" w:cs="Times New Roman"/>
          <w:b/>
          <w:lang w:eastAsia="en-US"/>
        </w:rPr>
        <w:t xml:space="preserve">Iepirkuma komisijas </w:t>
      </w:r>
      <w:r w:rsidR="00BA33B6">
        <w:rPr>
          <w:rFonts w:eastAsia="Times New Roman" w:cs="Times New Roman"/>
          <w:b/>
          <w:lang w:eastAsia="en-US"/>
        </w:rPr>
        <w:t>04</w:t>
      </w:r>
      <w:r w:rsidRPr="00DA561E">
        <w:rPr>
          <w:rFonts w:eastAsia="Times New Roman" w:cs="Times New Roman"/>
          <w:b/>
          <w:lang w:eastAsia="en-US"/>
        </w:rPr>
        <w:t>.0</w:t>
      </w:r>
      <w:r w:rsidR="00BA33B6">
        <w:rPr>
          <w:rFonts w:eastAsia="Times New Roman" w:cs="Times New Roman"/>
          <w:b/>
          <w:lang w:eastAsia="en-US"/>
        </w:rPr>
        <w:t>2</w:t>
      </w:r>
      <w:r w:rsidRPr="00DA561E">
        <w:rPr>
          <w:rFonts w:eastAsia="Times New Roman" w:cs="Times New Roman"/>
          <w:b/>
          <w:lang w:eastAsia="en-US"/>
        </w:rPr>
        <w:t>.201</w:t>
      </w:r>
      <w:r w:rsidR="00BA33B6">
        <w:rPr>
          <w:rFonts w:eastAsia="Times New Roman" w:cs="Times New Roman"/>
          <w:b/>
          <w:lang w:eastAsia="en-US"/>
        </w:rPr>
        <w:t>9</w:t>
      </w:r>
      <w:r w:rsidRPr="00DA561E">
        <w:rPr>
          <w:rFonts w:eastAsia="Times New Roman" w:cs="Times New Roman"/>
          <w:b/>
          <w:lang w:eastAsia="en-US"/>
        </w:rPr>
        <w:t>. sēdē sniegtā</w:t>
      </w:r>
      <w:r w:rsidR="00BA33B6">
        <w:rPr>
          <w:rFonts w:eastAsia="Times New Roman" w:cs="Times New Roman"/>
          <w:b/>
          <w:lang w:eastAsia="en-US"/>
        </w:rPr>
        <w:t>s</w:t>
      </w:r>
      <w:r w:rsidRPr="00DA561E">
        <w:rPr>
          <w:rFonts w:eastAsia="Times New Roman" w:cs="Times New Roman"/>
          <w:b/>
          <w:lang w:eastAsia="en-US"/>
        </w:rPr>
        <w:t xml:space="preserve"> atbilde</w:t>
      </w:r>
      <w:r w:rsidR="00BA33B6">
        <w:rPr>
          <w:rFonts w:eastAsia="Times New Roman" w:cs="Times New Roman"/>
          <w:b/>
          <w:lang w:eastAsia="en-US"/>
        </w:rPr>
        <w:t>s</w:t>
      </w:r>
      <w:r w:rsidRPr="00DA561E">
        <w:rPr>
          <w:rFonts w:eastAsia="Times New Roman" w:cs="Times New Roman"/>
          <w:b/>
          <w:lang w:eastAsia="en-US"/>
        </w:rPr>
        <w:t xml:space="preserve"> uz ieinteresētā piegādātāja uzdotajiem jautājumiem par sarunu procedūras </w:t>
      </w:r>
    </w:p>
    <w:p w:rsidR="00DA561E" w:rsidRPr="00DA561E" w:rsidRDefault="00794C98" w:rsidP="00DA561E">
      <w:pPr>
        <w:ind w:left="360" w:hanging="360"/>
        <w:jc w:val="center"/>
        <w:rPr>
          <w:rFonts w:eastAsia="Times New Roman" w:cs="Times New Roman"/>
          <w:b/>
          <w:lang w:eastAsia="en-US"/>
        </w:rPr>
      </w:pPr>
      <w:r>
        <w:rPr>
          <w:rFonts w:eastAsia="Times New Roman" w:cs="Times New Roman"/>
          <w:b/>
          <w:lang w:eastAsia="en-US"/>
        </w:rPr>
        <w:t>“</w:t>
      </w:r>
      <w:r w:rsidR="00BA33B6" w:rsidRPr="00BA33B6">
        <w:rPr>
          <w:rFonts w:eastAsia="Times New Roman" w:cs="Times New Roman"/>
          <w:b/>
          <w:lang w:eastAsia="en-US"/>
        </w:rPr>
        <w:t>Pārnēsājamā IED frekvenču slāpētāja iegāde</w:t>
      </w:r>
      <w:r w:rsidR="00DA561E" w:rsidRPr="00DA561E">
        <w:rPr>
          <w:rFonts w:eastAsia="Times New Roman" w:cs="Times New Roman"/>
          <w:b/>
          <w:lang w:eastAsia="en-US"/>
        </w:rPr>
        <w:t xml:space="preserve">” </w:t>
      </w:r>
    </w:p>
    <w:p w:rsidR="00DA561E" w:rsidRPr="00DA561E" w:rsidRDefault="00DA561E" w:rsidP="00DA561E">
      <w:pPr>
        <w:ind w:left="360" w:hanging="360"/>
        <w:jc w:val="center"/>
        <w:rPr>
          <w:rFonts w:eastAsia="Times New Roman" w:cs="Times New Roman"/>
          <w:b/>
          <w:lang w:eastAsia="en-US"/>
        </w:rPr>
      </w:pPr>
      <w:r w:rsidRPr="00DA561E">
        <w:rPr>
          <w:rFonts w:eastAsia="Times New Roman" w:cs="Times New Roman"/>
          <w:b/>
          <w:lang w:eastAsia="en-US"/>
        </w:rPr>
        <w:t>(identifikācijas Nr. VAMOIC 201</w:t>
      </w:r>
      <w:r w:rsidR="00BA33B6">
        <w:rPr>
          <w:rFonts w:eastAsia="Times New Roman" w:cs="Times New Roman"/>
          <w:b/>
          <w:lang w:eastAsia="en-US"/>
        </w:rPr>
        <w:t>8</w:t>
      </w:r>
      <w:r w:rsidRPr="00DA561E">
        <w:rPr>
          <w:rFonts w:eastAsia="Times New Roman" w:cs="Times New Roman"/>
          <w:b/>
          <w:lang w:eastAsia="en-US"/>
        </w:rPr>
        <w:t>/</w:t>
      </w:r>
      <w:r w:rsidR="00BA33B6">
        <w:rPr>
          <w:rFonts w:eastAsia="Times New Roman" w:cs="Times New Roman"/>
          <w:b/>
          <w:lang w:eastAsia="en-US"/>
        </w:rPr>
        <w:t>252</w:t>
      </w:r>
      <w:r w:rsidRPr="00DA561E">
        <w:rPr>
          <w:rFonts w:eastAsia="Times New Roman" w:cs="Times New Roman"/>
          <w:b/>
          <w:lang w:eastAsia="en-US"/>
        </w:rPr>
        <w:t xml:space="preserve">), </w:t>
      </w:r>
    </w:p>
    <w:p w:rsidR="00DA561E" w:rsidRPr="00DA561E" w:rsidRDefault="00DA561E" w:rsidP="00DA561E">
      <w:pPr>
        <w:spacing w:after="120"/>
        <w:ind w:left="357" w:hanging="357"/>
        <w:jc w:val="center"/>
        <w:rPr>
          <w:rFonts w:eastAsia="Times New Roman" w:cs="Times New Roman"/>
          <w:b/>
          <w:lang w:eastAsia="en-US"/>
        </w:rPr>
      </w:pPr>
      <w:r w:rsidRPr="00DA561E">
        <w:rPr>
          <w:rFonts w:eastAsia="Times New Roman" w:cs="Times New Roman"/>
          <w:b/>
          <w:lang w:eastAsia="en-US"/>
        </w:rPr>
        <w:t>nolikumu</w:t>
      </w:r>
    </w:p>
    <w:p w:rsidR="00737107" w:rsidRPr="00737107" w:rsidRDefault="00D74984" w:rsidP="00737107">
      <w:pPr>
        <w:numPr>
          <w:ilvl w:val="0"/>
          <w:numId w:val="4"/>
        </w:numPr>
        <w:spacing w:after="120"/>
        <w:ind w:left="284" w:hanging="284"/>
        <w:jc w:val="both"/>
        <w:rPr>
          <w:rFonts w:eastAsia="Calibri" w:cs="Times New Roman"/>
          <w:b/>
          <w:lang w:eastAsia="en-US"/>
        </w:rPr>
      </w:pPr>
      <w:r w:rsidRPr="00D74984">
        <w:rPr>
          <w:rFonts w:eastAsia="Calibri" w:cs="Times New Roman"/>
          <w:b/>
          <w:lang w:eastAsia="en-US"/>
        </w:rPr>
        <w:t>Jautājums</w:t>
      </w:r>
      <w:r w:rsidRPr="00737107">
        <w:rPr>
          <w:rFonts w:eastAsia="Calibri" w:cs="Times New Roman"/>
          <w:b/>
          <w:lang w:eastAsia="en-US"/>
        </w:rPr>
        <w:t xml:space="preserve"> </w:t>
      </w:r>
    </w:p>
    <w:p w:rsidR="00737107" w:rsidRPr="00737107" w:rsidRDefault="00794C98" w:rsidP="00737107">
      <w:pPr>
        <w:spacing w:after="120"/>
        <w:ind w:firstLine="720"/>
        <w:jc w:val="both"/>
        <w:rPr>
          <w:rFonts w:eastAsia="Calibri" w:cs="Times New Roman"/>
          <w:lang w:eastAsia="en-US"/>
        </w:rPr>
      </w:pPr>
      <w:r>
        <w:rPr>
          <w:rFonts w:eastAsia="Calibri" w:cs="Times New Roman"/>
          <w:lang w:eastAsia="en-US"/>
        </w:rPr>
        <w:t>“</w:t>
      </w:r>
      <w:r w:rsidR="00737107" w:rsidRPr="00737107">
        <w:rPr>
          <w:rFonts w:eastAsia="Calibri" w:cs="Times New Roman"/>
          <w:lang w:eastAsia="en-US"/>
        </w:rPr>
        <w:t>Spot” režīms (iespēja traucēt konkrētas frekvences: 900 MHz; 433 MHz; 868-869 MHz; 1.3 GHz un 2.3 GHz);</w:t>
      </w:r>
    </w:p>
    <w:p w:rsidR="00737107" w:rsidRPr="00737107" w:rsidRDefault="00737107" w:rsidP="00737107">
      <w:pPr>
        <w:spacing w:after="120"/>
        <w:ind w:firstLine="720"/>
        <w:jc w:val="both"/>
        <w:rPr>
          <w:rFonts w:eastAsia="Calibri" w:cs="Times New Roman"/>
          <w:lang w:eastAsia="en-US"/>
        </w:rPr>
      </w:pPr>
      <w:r w:rsidRPr="00737107">
        <w:rPr>
          <w:rFonts w:eastAsia="Calibri" w:cs="Times New Roman"/>
          <w:lang w:eastAsia="en-US"/>
        </w:rPr>
        <w:t>Kādā frekvenču joslā būtu jārada traucējumi joslām, kas norādītas kā “900 MHz” un “433 MHz”?</w:t>
      </w:r>
    </w:p>
    <w:p w:rsidR="00CD5572" w:rsidRDefault="00CD5572" w:rsidP="00CD5572">
      <w:pPr>
        <w:jc w:val="both"/>
        <w:rPr>
          <w:rFonts w:cs="Times New Roman"/>
          <w:b/>
        </w:rPr>
      </w:pPr>
    </w:p>
    <w:p w:rsidR="00A60143" w:rsidRDefault="00CD5572" w:rsidP="00CD5572">
      <w:pPr>
        <w:jc w:val="both"/>
        <w:rPr>
          <w:rFonts w:cs="Times New Roman"/>
          <w:b/>
        </w:rPr>
      </w:pPr>
      <w:r w:rsidRPr="00D74984">
        <w:rPr>
          <w:rFonts w:cs="Times New Roman"/>
          <w:b/>
        </w:rPr>
        <w:t>Atbilde</w:t>
      </w:r>
      <w:r>
        <w:rPr>
          <w:rFonts w:cs="Times New Roman"/>
          <w:b/>
        </w:rPr>
        <w:t>:</w:t>
      </w:r>
    </w:p>
    <w:p w:rsidR="00CD5572" w:rsidRPr="00D74984" w:rsidRDefault="00A60143" w:rsidP="00202706">
      <w:pPr>
        <w:ind w:firstLine="709"/>
        <w:jc w:val="both"/>
        <w:rPr>
          <w:rFonts w:cs="Times New Roman"/>
          <w:b/>
        </w:rPr>
      </w:pPr>
      <w:r>
        <w:rPr>
          <w:rFonts w:cs="Times New Roman"/>
          <w:b/>
        </w:rPr>
        <w:t xml:space="preserve"> </w:t>
      </w:r>
      <w:r w:rsidRPr="00A60143">
        <w:rPr>
          <w:rFonts w:cs="Times New Roman"/>
        </w:rPr>
        <w:t>Iepirkuma komisija</w:t>
      </w:r>
      <w:r>
        <w:rPr>
          <w:rFonts w:cs="Times New Roman"/>
          <w:b/>
        </w:rPr>
        <w:t xml:space="preserve"> </w:t>
      </w:r>
      <w:r w:rsidR="00F64DC3" w:rsidRPr="001806FF">
        <w:rPr>
          <w:rFonts w:cs="Times New Roman"/>
        </w:rPr>
        <w:t>sniedz atbildi</w:t>
      </w:r>
      <w:r>
        <w:rPr>
          <w:rFonts w:cs="Times New Roman"/>
        </w:rPr>
        <w:t>, ka traucējumi joslām jāraida:</w:t>
      </w:r>
    </w:p>
    <w:p w:rsidR="00A60143" w:rsidRPr="00A60143" w:rsidRDefault="00A60143" w:rsidP="00A60143">
      <w:pPr>
        <w:numPr>
          <w:ilvl w:val="0"/>
          <w:numId w:val="8"/>
        </w:numPr>
        <w:spacing w:after="200" w:line="276" w:lineRule="auto"/>
        <w:contextualSpacing/>
        <w:rPr>
          <w:rFonts w:eastAsia="Times New Roman"/>
        </w:rPr>
      </w:pPr>
      <w:r w:rsidRPr="00A60143">
        <w:rPr>
          <w:rFonts w:eastAsia="Times New Roman"/>
        </w:rPr>
        <w:t>“900 MHz” -  GSM LOW BAND. Radiofrekvenču josla 880–915 MHz, 925–960 MHz.</w:t>
      </w:r>
    </w:p>
    <w:p w:rsidR="00A60143" w:rsidRPr="00A60143" w:rsidRDefault="00A60143" w:rsidP="00A60143">
      <w:pPr>
        <w:spacing w:after="200" w:line="276" w:lineRule="auto"/>
      </w:pPr>
      <w:r w:rsidRPr="00A60143">
        <w:t>Kanāla joslas platums:</w:t>
      </w:r>
    </w:p>
    <w:p w:rsidR="00A60143" w:rsidRPr="00A60143" w:rsidRDefault="00A60143" w:rsidP="00A60143">
      <w:pPr>
        <w:numPr>
          <w:ilvl w:val="0"/>
          <w:numId w:val="9"/>
        </w:numPr>
        <w:spacing w:after="200" w:line="276" w:lineRule="auto"/>
        <w:contextualSpacing/>
      </w:pPr>
      <w:r w:rsidRPr="00A60143">
        <w:t>GSM sistēmām: 200 kHz</w:t>
      </w:r>
    </w:p>
    <w:p w:rsidR="00A60143" w:rsidRPr="00A60143" w:rsidRDefault="00A60143" w:rsidP="00A60143">
      <w:pPr>
        <w:numPr>
          <w:ilvl w:val="0"/>
          <w:numId w:val="9"/>
        </w:numPr>
        <w:spacing w:after="200" w:line="276" w:lineRule="auto"/>
        <w:contextualSpacing/>
      </w:pPr>
      <w:r w:rsidRPr="00A60143">
        <w:t>UMTS sistēmām: 5 MHz</w:t>
      </w:r>
    </w:p>
    <w:p w:rsidR="00A60143" w:rsidRPr="00A60143" w:rsidRDefault="00A60143" w:rsidP="00A60143">
      <w:pPr>
        <w:numPr>
          <w:ilvl w:val="0"/>
          <w:numId w:val="9"/>
        </w:numPr>
        <w:spacing w:after="200" w:line="276" w:lineRule="auto"/>
        <w:contextualSpacing/>
      </w:pPr>
      <w:r w:rsidRPr="00A60143">
        <w:t>LTE sistēmām: 1,4; 3; 5; 10; 15; 20 MHz</w:t>
      </w:r>
    </w:p>
    <w:p w:rsidR="00A60143" w:rsidRPr="00A60143" w:rsidRDefault="00A60143" w:rsidP="00A60143">
      <w:pPr>
        <w:numPr>
          <w:ilvl w:val="0"/>
          <w:numId w:val="9"/>
        </w:numPr>
        <w:spacing w:after="200" w:line="276" w:lineRule="auto"/>
        <w:contextualSpacing/>
      </w:pPr>
      <w:r w:rsidRPr="00A60143">
        <w:t xml:space="preserve">WiMAX sistēmām: 5; 10 MHz </w:t>
      </w:r>
    </w:p>
    <w:p w:rsidR="00A60143" w:rsidRPr="00A60143" w:rsidRDefault="00A60143" w:rsidP="00A60143">
      <w:pPr>
        <w:spacing w:after="200" w:line="276" w:lineRule="auto"/>
        <w:rPr>
          <w:rFonts w:ascii="Calibri" w:hAnsi="Calibri"/>
          <w:sz w:val="16"/>
          <w:szCs w:val="16"/>
        </w:rPr>
      </w:pPr>
      <w:r w:rsidRPr="00A60143">
        <w:rPr>
          <w:sz w:val="16"/>
          <w:szCs w:val="16"/>
        </w:rPr>
        <w:t> </w:t>
      </w:r>
    </w:p>
    <w:p w:rsidR="00A60143" w:rsidRPr="00A60143" w:rsidRDefault="00A60143" w:rsidP="00A60143">
      <w:pPr>
        <w:numPr>
          <w:ilvl w:val="0"/>
          <w:numId w:val="8"/>
        </w:numPr>
        <w:spacing w:after="200" w:line="276" w:lineRule="auto"/>
        <w:contextualSpacing/>
        <w:rPr>
          <w:rFonts w:eastAsia="Times New Roman"/>
        </w:rPr>
      </w:pPr>
      <w:r w:rsidRPr="00A60143">
        <w:rPr>
          <w:rFonts w:eastAsia="Times New Roman"/>
        </w:rPr>
        <w:t xml:space="preserve">“433 MHz” - LPD 433 (Low power devices) UHF joslā. No 433,000 – 434,775 MHz ar 25 Khz soli. </w:t>
      </w:r>
    </w:p>
    <w:p w:rsidR="00D74984" w:rsidRPr="00D74984" w:rsidRDefault="00D74984" w:rsidP="00737107">
      <w:pPr>
        <w:spacing w:after="120"/>
        <w:ind w:left="284"/>
        <w:jc w:val="both"/>
        <w:rPr>
          <w:rFonts w:eastAsia="Calibri" w:cs="Times New Roman"/>
          <w:lang w:eastAsia="en-US"/>
        </w:rPr>
      </w:pPr>
    </w:p>
    <w:p w:rsidR="00C77095" w:rsidRPr="00B66184" w:rsidRDefault="00D74984" w:rsidP="00F05239">
      <w:pPr>
        <w:numPr>
          <w:ilvl w:val="0"/>
          <w:numId w:val="4"/>
        </w:numPr>
        <w:spacing w:after="120"/>
        <w:ind w:left="284" w:hanging="284"/>
        <w:jc w:val="both"/>
        <w:rPr>
          <w:rFonts w:eastAsia="Calibri" w:cs="Times New Roman"/>
          <w:b/>
          <w:lang w:eastAsia="en-US"/>
        </w:rPr>
      </w:pPr>
      <w:r w:rsidRPr="00D74984">
        <w:rPr>
          <w:rFonts w:eastAsia="Calibri" w:cs="Times New Roman"/>
          <w:b/>
          <w:lang w:eastAsia="en-US"/>
        </w:rPr>
        <w:t>Jautājums</w:t>
      </w:r>
      <w:r w:rsidR="00C77095" w:rsidRPr="00B66184">
        <w:rPr>
          <w:rFonts w:eastAsia="Calibri" w:cs="Times New Roman"/>
          <w:b/>
          <w:lang w:eastAsia="en-US"/>
        </w:rPr>
        <w:t xml:space="preserve"> </w:t>
      </w:r>
    </w:p>
    <w:p w:rsidR="00C77095" w:rsidRPr="00C77095" w:rsidRDefault="00C77095" w:rsidP="00C77095">
      <w:pPr>
        <w:spacing w:after="120"/>
        <w:ind w:firstLine="720"/>
        <w:jc w:val="both"/>
        <w:rPr>
          <w:rFonts w:eastAsia="Calibri" w:cs="Times New Roman"/>
          <w:lang w:eastAsia="en-US"/>
        </w:rPr>
      </w:pPr>
      <w:r w:rsidRPr="00C77095">
        <w:rPr>
          <w:rFonts w:eastAsia="Calibri" w:cs="Times New Roman"/>
          <w:lang w:eastAsia="en-US"/>
        </w:rPr>
        <w:t>Open Communication Window” (Atvērtais frekvenču logs savām lietojamām frekvencēm (lietotāja nodefinēts)).</w:t>
      </w:r>
    </w:p>
    <w:p w:rsidR="00C77095" w:rsidRDefault="00C77095" w:rsidP="00C77095">
      <w:pPr>
        <w:spacing w:after="120"/>
        <w:ind w:firstLine="720"/>
        <w:jc w:val="both"/>
        <w:rPr>
          <w:rFonts w:eastAsia="Calibri" w:cs="Times New Roman"/>
          <w:lang w:eastAsia="en-US"/>
        </w:rPr>
      </w:pPr>
      <w:r w:rsidRPr="00C77095">
        <w:rPr>
          <w:rFonts w:eastAsia="Calibri" w:cs="Times New Roman"/>
          <w:lang w:eastAsia="en-US"/>
        </w:rPr>
        <w:t>Kādam jābūt komunikācijas loga joslas platumam?</w:t>
      </w:r>
      <w:r w:rsidR="00D74984" w:rsidRPr="00D74984">
        <w:rPr>
          <w:rFonts w:eastAsia="Calibri" w:cs="Times New Roman"/>
          <w:lang w:eastAsia="en-US"/>
        </w:rPr>
        <w:t xml:space="preserve"> </w:t>
      </w:r>
    </w:p>
    <w:p w:rsidR="00FB1185" w:rsidRDefault="00FB1185" w:rsidP="00C77095">
      <w:pPr>
        <w:spacing w:after="120"/>
        <w:ind w:firstLine="720"/>
        <w:jc w:val="both"/>
        <w:rPr>
          <w:rFonts w:eastAsia="Calibri" w:cs="Times New Roman"/>
          <w:lang w:eastAsia="en-US"/>
        </w:rPr>
      </w:pPr>
    </w:p>
    <w:p w:rsidR="002051CF" w:rsidRPr="00D74984" w:rsidRDefault="002051CF" w:rsidP="002051CF">
      <w:pPr>
        <w:jc w:val="both"/>
        <w:rPr>
          <w:rFonts w:cs="Times New Roman"/>
          <w:b/>
        </w:rPr>
      </w:pPr>
      <w:r w:rsidRPr="00D74984">
        <w:rPr>
          <w:rFonts w:cs="Times New Roman"/>
          <w:b/>
        </w:rPr>
        <w:t>Atbilde</w:t>
      </w:r>
      <w:r>
        <w:rPr>
          <w:rFonts w:cs="Times New Roman"/>
          <w:b/>
        </w:rPr>
        <w:t>:</w:t>
      </w:r>
    </w:p>
    <w:p w:rsidR="00C77095" w:rsidRDefault="00A60143" w:rsidP="00202706">
      <w:pPr>
        <w:spacing w:after="120"/>
        <w:ind w:left="360" w:firstLine="491"/>
        <w:jc w:val="both"/>
        <w:rPr>
          <w:rFonts w:cs="Times New Roman"/>
        </w:rPr>
      </w:pPr>
      <w:r w:rsidRPr="00A60143">
        <w:rPr>
          <w:rFonts w:cs="Times New Roman"/>
        </w:rPr>
        <w:t>Iepirkuma komisija</w:t>
      </w:r>
      <w:r>
        <w:rPr>
          <w:rFonts w:cs="Times New Roman"/>
          <w:b/>
        </w:rPr>
        <w:t xml:space="preserve"> </w:t>
      </w:r>
      <w:r w:rsidRPr="00A60143">
        <w:rPr>
          <w:rFonts w:cs="Times New Roman"/>
        </w:rPr>
        <w:t>s</w:t>
      </w:r>
      <w:r w:rsidR="00F64DC3">
        <w:rPr>
          <w:rFonts w:cs="Times New Roman"/>
        </w:rPr>
        <w:t>niedz atbildi</w:t>
      </w:r>
      <w:r>
        <w:rPr>
          <w:rFonts w:cs="Times New Roman"/>
        </w:rPr>
        <w:t>, ka komunikācijas loga joslas platumam jābūt:</w:t>
      </w:r>
    </w:p>
    <w:p w:rsidR="00A60143" w:rsidRPr="00A60143" w:rsidRDefault="00A60143" w:rsidP="00A60143">
      <w:pPr>
        <w:numPr>
          <w:ilvl w:val="0"/>
          <w:numId w:val="8"/>
        </w:numPr>
        <w:spacing w:after="200" w:line="276" w:lineRule="auto"/>
        <w:contextualSpacing/>
        <w:rPr>
          <w:rFonts w:eastAsia="Times New Roman"/>
        </w:rPr>
      </w:pPr>
      <w:r w:rsidRPr="00A60143">
        <w:rPr>
          <w:rFonts w:eastAsia="Times New Roman"/>
        </w:rPr>
        <w:t>30 – 80 MHz</w:t>
      </w:r>
      <w:r w:rsidRPr="00A60143">
        <w:rPr>
          <w:rFonts w:eastAsia="Times New Roman"/>
          <w:b/>
          <w:bCs/>
        </w:rPr>
        <w:t>:</w:t>
      </w:r>
      <w:r w:rsidRPr="00A60143">
        <w:rPr>
          <w:rFonts w:eastAsia="Times New Roman"/>
        </w:rPr>
        <w:t xml:space="preserve">   25 KHz </w:t>
      </w:r>
    </w:p>
    <w:p w:rsidR="00A60143" w:rsidRPr="00A60143" w:rsidRDefault="00A60143" w:rsidP="00A60143">
      <w:pPr>
        <w:numPr>
          <w:ilvl w:val="0"/>
          <w:numId w:val="8"/>
        </w:numPr>
        <w:spacing w:after="200" w:line="276" w:lineRule="auto"/>
        <w:contextualSpacing/>
        <w:rPr>
          <w:rFonts w:eastAsia="Times New Roman"/>
        </w:rPr>
      </w:pPr>
      <w:r w:rsidRPr="00A60143">
        <w:rPr>
          <w:rFonts w:eastAsia="Times New Roman"/>
        </w:rPr>
        <w:t>225 MHz – 2 GHz</w:t>
      </w:r>
      <w:r w:rsidRPr="00A60143">
        <w:rPr>
          <w:rFonts w:eastAsia="Times New Roman"/>
          <w:b/>
          <w:bCs/>
        </w:rPr>
        <w:t>:</w:t>
      </w:r>
      <w:r w:rsidRPr="00A60143">
        <w:rPr>
          <w:rFonts w:eastAsia="Times New Roman"/>
        </w:rPr>
        <w:t xml:space="preserve">   1,2 MHz un 5 MHz </w:t>
      </w:r>
    </w:p>
    <w:p w:rsidR="00A60143" w:rsidRDefault="00A60143" w:rsidP="00C77095">
      <w:pPr>
        <w:spacing w:after="120"/>
        <w:ind w:left="360"/>
        <w:jc w:val="both"/>
        <w:rPr>
          <w:rFonts w:eastAsia="Calibri" w:cs="Times New Roman"/>
          <w:lang w:eastAsia="en-US"/>
        </w:rPr>
      </w:pPr>
    </w:p>
    <w:p w:rsidR="00B66184" w:rsidRPr="00B66184" w:rsidRDefault="00D74984" w:rsidP="00B66184">
      <w:pPr>
        <w:numPr>
          <w:ilvl w:val="0"/>
          <w:numId w:val="4"/>
        </w:numPr>
        <w:spacing w:after="120"/>
        <w:ind w:left="284" w:hanging="284"/>
        <w:jc w:val="both"/>
        <w:rPr>
          <w:rFonts w:eastAsia="Calibri" w:cs="Times New Roman"/>
          <w:b/>
          <w:lang w:eastAsia="en-US"/>
        </w:rPr>
      </w:pPr>
      <w:r w:rsidRPr="00D74984">
        <w:rPr>
          <w:rFonts w:eastAsia="Calibri" w:cs="Times New Roman"/>
          <w:b/>
          <w:lang w:eastAsia="en-US"/>
        </w:rPr>
        <w:t>Jautājums</w:t>
      </w:r>
      <w:r w:rsidRPr="00B66184">
        <w:rPr>
          <w:rFonts w:eastAsia="Calibri" w:cs="Times New Roman"/>
          <w:b/>
          <w:lang w:eastAsia="en-US"/>
        </w:rPr>
        <w:t xml:space="preserve"> </w:t>
      </w:r>
    </w:p>
    <w:p w:rsidR="00B66184" w:rsidRDefault="00B66184" w:rsidP="00B66184">
      <w:pPr>
        <w:spacing w:after="200" w:line="276" w:lineRule="auto"/>
        <w:ind w:left="360" w:firstLine="349"/>
        <w:contextualSpacing/>
      </w:pPr>
      <w:r>
        <w:t>Kopējā pārnēsājamā IED frekvenču slāpētāja izejas jauda – vismaz 25 W (vati).</w:t>
      </w:r>
    </w:p>
    <w:p w:rsidR="00B66184" w:rsidRDefault="00B66184" w:rsidP="00B66184">
      <w:pPr>
        <w:spacing w:after="200" w:line="276" w:lineRule="auto"/>
        <w:ind w:left="360" w:firstLine="349"/>
      </w:pPr>
      <w:r>
        <w:t>Par kādu jaudu iet runa? AVG uz slodzi 50 Om? PEP? ERP? EIRP?</w:t>
      </w:r>
    </w:p>
    <w:p w:rsidR="00202706" w:rsidRDefault="00202706" w:rsidP="002051CF">
      <w:pPr>
        <w:jc w:val="both"/>
        <w:rPr>
          <w:rFonts w:cs="Times New Roman"/>
          <w:b/>
        </w:rPr>
      </w:pPr>
    </w:p>
    <w:p w:rsidR="002051CF" w:rsidRPr="00D74984" w:rsidRDefault="002051CF" w:rsidP="002051CF">
      <w:pPr>
        <w:jc w:val="both"/>
        <w:rPr>
          <w:rFonts w:cs="Times New Roman"/>
          <w:b/>
        </w:rPr>
      </w:pPr>
      <w:r w:rsidRPr="00D74984">
        <w:rPr>
          <w:rFonts w:cs="Times New Roman"/>
          <w:b/>
        </w:rPr>
        <w:t>Atbilde</w:t>
      </w:r>
      <w:r>
        <w:rPr>
          <w:rFonts w:cs="Times New Roman"/>
          <w:b/>
        </w:rPr>
        <w:t>:</w:t>
      </w:r>
    </w:p>
    <w:p w:rsidR="00FB1185" w:rsidRPr="00FB1185" w:rsidRDefault="00FB1185" w:rsidP="00202706">
      <w:pPr>
        <w:spacing w:after="200" w:line="276" w:lineRule="auto"/>
        <w:ind w:firstLine="709"/>
        <w:contextualSpacing/>
        <w:rPr>
          <w:rFonts w:eastAsia="Times New Roman"/>
        </w:rPr>
      </w:pPr>
      <w:r w:rsidRPr="00FB1185">
        <w:rPr>
          <w:rFonts w:cs="Times New Roman"/>
        </w:rPr>
        <w:t>Iepirkuma komisija</w:t>
      </w:r>
      <w:r w:rsidRPr="00FB1185">
        <w:rPr>
          <w:rFonts w:cs="Times New Roman"/>
          <w:b/>
        </w:rPr>
        <w:t xml:space="preserve"> </w:t>
      </w:r>
      <w:r w:rsidRPr="00FB1185">
        <w:rPr>
          <w:rFonts w:cs="Times New Roman"/>
        </w:rPr>
        <w:t>s</w:t>
      </w:r>
      <w:r w:rsidR="00F64DC3">
        <w:rPr>
          <w:rFonts w:cs="Times New Roman"/>
        </w:rPr>
        <w:t>niedz atbildi</w:t>
      </w:r>
      <w:r w:rsidRPr="00FB1185">
        <w:rPr>
          <w:rFonts w:cs="Times New Roman"/>
        </w:rPr>
        <w:t xml:space="preserve">, ka </w:t>
      </w:r>
      <w:r w:rsidRPr="00FB1185">
        <w:rPr>
          <w:rFonts w:eastAsia="Times New Roman"/>
        </w:rPr>
        <w:t xml:space="preserve">efektīvās izstarotās jaudas (EIRP) nomināls </w:t>
      </w:r>
      <w:r w:rsidR="00202706">
        <w:rPr>
          <w:rFonts w:eastAsia="Times New Roman"/>
        </w:rPr>
        <w:t xml:space="preserve">ir </w:t>
      </w:r>
      <w:r w:rsidRPr="00FB1185">
        <w:rPr>
          <w:rFonts w:eastAsia="Times New Roman"/>
        </w:rPr>
        <w:t>25 W</w:t>
      </w:r>
      <w:r w:rsidR="00202706">
        <w:rPr>
          <w:rFonts w:eastAsia="Times New Roman"/>
        </w:rPr>
        <w:t>.</w:t>
      </w:r>
    </w:p>
    <w:p w:rsidR="00B66184" w:rsidRDefault="00B66184" w:rsidP="00FB1185">
      <w:pPr>
        <w:spacing w:after="200" w:line="276" w:lineRule="auto"/>
        <w:ind w:left="360" w:firstLine="349"/>
      </w:pPr>
    </w:p>
    <w:p w:rsidR="00B66184" w:rsidRPr="00B66184" w:rsidRDefault="00D74984" w:rsidP="00F05239">
      <w:pPr>
        <w:numPr>
          <w:ilvl w:val="0"/>
          <w:numId w:val="4"/>
        </w:numPr>
        <w:spacing w:after="120"/>
        <w:ind w:left="284" w:hanging="284"/>
        <w:jc w:val="both"/>
        <w:rPr>
          <w:rFonts w:eastAsia="Calibri" w:cs="Times New Roman"/>
          <w:b/>
          <w:lang w:eastAsia="en-US"/>
        </w:rPr>
      </w:pPr>
      <w:r w:rsidRPr="00B66184">
        <w:rPr>
          <w:rFonts w:eastAsia="Calibri" w:cs="Times New Roman"/>
          <w:b/>
          <w:lang w:eastAsia="en-US"/>
        </w:rPr>
        <w:lastRenderedPageBreak/>
        <w:t xml:space="preserve"> </w:t>
      </w:r>
      <w:r w:rsidRPr="00D74984">
        <w:rPr>
          <w:rFonts w:eastAsia="Calibri" w:cs="Times New Roman"/>
          <w:b/>
          <w:lang w:eastAsia="en-US"/>
        </w:rPr>
        <w:t>Jautājums</w:t>
      </w:r>
      <w:r w:rsidRPr="00B66184">
        <w:rPr>
          <w:rFonts w:eastAsia="Calibri" w:cs="Times New Roman"/>
          <w:b/>
          <w:lang w:eastAsia="en-US"/>
        </w:rPr>
        <w:t xml:space="preserve"> </w:t>
      </w:r>
    </w:p>
    <w:p w:rsidR="002051CF" w:rsidRPr="002051CF" w:rsidRDefault="00D74984" w:rsidP="002051CF">
      <w:pPr>
        <w:spacing w:after="120"/>
        <w:ind w:firstLine="720"/>
        <w:jc w:val="both"/>
        <w:rPr>
          <w:rFonts w:eastAsia="Calibri" w:cs="Times New Roman"/>
          <w:lang w:eastAsia="en-US"/>
        </w:rPr>
      </w:pPr>
      <w:r w:rsidRPr="00D74984">
        <w:rPr>
          <w:rFonts w:eastAsia="Calibri" w:cs="Times New Roman"/>
          <w:lang w:eastAsia="en-US"/>
        </w:rPr>
        <w:t xml:space="preserve"> </w:t>
      </w:r>
      <w:r w:rsidR="002051CF" w:rsidRPr="002051CF">
        <w:rPr>
          <w:rFonts w:eastAsia="Calibri" w:cs="Times New Roman"/>
          <w:lang w:eastAsia="en-US"/>
        </w:rPr>
        <w:t>Ārējās saskarnes standarti (Air Interface Standards), minimums  –  DTMF (Dual-Tone Multi-Frequency).</w:t>
      </w:r>
    </w:p>
    <w:p w:rsidR="00D74984" w:rsidRPr="00D74984" w:rsidRDefault="002051CF" w:rsidP="002051CF">
      <w:pPr>
        <w:spacing w:after="120"/>
        <w:ind w:firstLine="720"/>
        <w:jc w:val="both"/>
        <w:rPr>
          <w:rFonts w:eastAsia="Calibri" w:cs="Times New Roman"/>
          <w:lang w:eastAsia="en-US"/>
        </w:rPr>
      </w:pPr>
      <w:r w:rsidRPr="002051CF">
        <w:rPr>
          <w:rFonts w:eastAsia="Calibri" w:cs="Times New Roman"/>
          <w:lang w:eastAsia="en-US"/>
        </w:rPr>
        <w:t>Par ko iet runa? Vai tas ir noradīts vadības komandas tips IED ar ko ir jācīnās vai kaut kas cits?</w:t>
      </w:r>
    </w:p>
    <w:p w:rsidR="00A60143" w:rsidRDefault="00A60143" w:rsidP="00A60143">
      <w:pPr>
        <w:jc w:val="both"/>
        <w:rPr>
          <w:rFonts w:cs="Times New Roman"/>
          <w:b/>
        </w:rPr>
      </w:pPr>
    </w:p>
    <w:p w:rsidR="00A60143" w:rsidRPr="00D74984" w:rsidRDefault="00A60143" w:rsidP="00A60143">
      <w:pPr>
        <w:jc w:val="both"/>
        <w:rPr>
          <w:rFonts w:cs="Times New Roman"/>
          <w:b/>
        </w:rPr>
      </w:pPr>
      <w:r w:rsidRPr="00D74984">
        <w:rPr>
          <w:rFonts w:cs="Times New Roman"/>
          <w:b/>
        </w:rPr>
        <w:t>Atbilde</w:t>
      </w:r>
      <w:r>
        <w:rPr>
          <w:rFonts w:cs="Times New Roman"/>
          <w:b/>
        </w:rPr>
        <w:t>:</w:t>
      </w:r>
    </w:p>
    <w:p w:rsidR="00202706" w:rsidRPr="00202706" w:rsidRDefault="00202706" w:rsidP="001368CA">
      <w:pPr>
        <w:ind w:left="360" w:firstLine="491"/>
        <w:rPr>
          <w:rFonts w:eastAsia="Times New Roman"/>
        </w:rPr>
      </w:pPr>
      <w:r w:rsidRPr="00202706">
        <w:rPr>
          <w:rFonts w:cs="Times New Roman"/>
        </w:rPr>
        <w:t xml:space="preserve">Iepirkuma komisija apstiprina, ka, jā </w:t>
      </w:r>
      <w:r w:rsidRPr="00202706">
        <w:rPr>
          <w:rFonts w:eastAsia="Times New Roman"/>
        </w:rPr>
        <w:t>tas ir IED vadības komandas tips.</w:t>
      </w:r>
    </w:p>
    <w:p w:rsidR="006E38F9" w:rsidRPr="00D74984" w:rsidRDefault="006E38F9" w:rsidP="006E38F9">
      <w:pPr>
        <w:jc w:val="both"/>
        <w:rPr>
          <w:rFonts w:cs="Times New Roman"/>
        </w:rPr>
      </w:pPr>
    </w:p>
    <w:p w:rsidR="00DA561E" w:rsidRPr="00D74984" w:rsidRDefault="00DA561E" w:rsidP="00EB0706">
      <w:pPr>
        <w:jc w:val="both"/>
        <w:rPr>
          <w:rFonts w:cs="Times New Roman"/>
        </w:rPr>
      </w:pPr>
    </w:p>
    <w:p w:rsidR="00D227C4" w:rsidRDefault="004F6935" w:rsidP="001368CA">
      <w:pPr>
        <w:widowControl w:val="0"/>
        <w:suppressAutoHyphens/>
        <w:ind w:firstLine="851"/>
        <w:jc w:val="both"/>
        <w:rPr>
          <w:rFonts w:eastAsia="SimSun" w:cs="Times New Roman"/>
          <w:kern w:val="2"/>
          <w:lang w:eastAsia="hi-IN" w:bidi="hi-IN"/>
        </w:rPr>
      </w:pPr>
      <w:r>
        <w:rPr>
          <w:rFonts w:eastAsia="SimSun" w:cs="Times New Roman"/>
          <w:kern w:val="2"/>
          <w:lang w:eastAsia="hi-IN" w:bidi="hi-IN"/>
        </w:rPr>
        <w:t>I</w:t>
      </w:r>
      <w:r w:rsidR="00D227C4">
        <w:rPr>
          <w:rFonts w:eastAsia="SimSun" w:cs="Times New Roman"/>
          <w:kern w:val="2"/>
          <w:lang w:eastAsia="hi-IN" w:bidi="hi-IN"/>
        </w:rPr>
        <w:t xml:space="preserve">epirkuma komisija </w:t>
      </w:r>
      <w:r>
        <w:rPr>
          <w:rFonts w:eastAsia="SimSun" w:cs="Times New Roman"/>
          <w:kern w:val="2"/>
          <w:lang w:eastAsia="hi-IN" w:bidi="hi-IN"/>
        </w:rPr>
        <w:t xml:space="preserve">papildus </w:t>
      </w:r>
      <w:r w:rsidR="00D227C4">
        <w:rPr>
          <w:rFonts w:eastAsia="SimSun" w:cs="Times New Roman"/>
          <w:kern w:val="2"/>
          <w:lang w:eastAsia="hi-IN" w:bidi="hi-IN"/>
        </w:rPr>
        <w:t>informē, ka sarunu procedūras tehniskā specifikācija ir publicēta pie Nolikuma kā papildus informācija. Sarunu procedūras ietvaros tehniskā specifikācija var tikt labota un precizēta līdz Uzaicinājuma nosūtīšanai, līdz ar to ieinteresēto piegādātāju iesniegtie jautājumi tiks ņemti vērā, nosakot iespējami precīzāk visas nepieciešamās tehniskās specifikācijas prasības. Kandidāti, kuri izturēs kvalifikācijas pārbaudes posmu, tiks uzaicināti iesniegt finanšu un tehnisko piedāvājumu, nosūtot uzaicinājumu.</w:t>
      </w:r>
    </w:p>
    <w:p w:rsidR="00D227C4" w:rsidRDefault="00D227C4" w:rsidP="00D227C4">
      <w:pPr>
        <w:jc w:val="both"/>
        <w:rPr>
          <w:rFonts w:cs="Times New Roman"/>
        </w:rPr>
      </w:pPr>
    </w:p>
    <w:p w:rsidR="00D227C4" w:rsidRDefault="00D227C4" w:rsidP="00EB0706">
      <w:pPr>
        <w:jc w:val="both"/>
        <w:rPr>
          <w:rFonts w:cs="Times New Roman"/>
        </w:rPr>
      </w:pPr>
    </w:p>
    <w:p w:rsidR="001368CA" w:rsidRDefault="001368CA" w:rsidP="00EB0706">
      <w:pPr>
        <w:jc w:val="both"/>
        <w:rPr>
          <w:rFonts w:cs="Times New Roman"/>
        </w:rPr>
      </w:pPr>
      <w:bookmarkStart w:id="0" w:name="_GoBack"/>
      <w:bookmarkEnd w:id="0"/>
    </w:p>
    <w:p w:rsidR="001E6419" w:rsidRPr="005364BD" w:rsidRDefault="001E6419" w:rsidP="001368CA">
      <w:pPr>
        <w:ind w:firstLine="851"/>
        <w:jc w:val="both"/>
        <w:rPr>
          <w:i/>
        </w:rPr>
      </w:pPr>
      <w:r w:rsidRPr="00B5541A">
        <w:rPr>
          <w:i/>
        </w:rPr>
        <w:t xml:space="preserve">Iepirkuma komisijas sniegtās atbildes </w:t>
      </w:r>
      <w:r>
        <w:rPr>
          <w:i/>
        </w:rPr>
        <w:t>ir</w:t>
      </w:r>
      <w:r w:rsidRPr="00B5541A">
        <w:rPr>
          <w:i/>
        </w:rPr>
        <w:t xml:space="preserve"> neatņemama </w:t>
      </w:r>
      <w:r>
        <w:rPr>
          <w:i/>
        </w:rPr>
        <w:t>sarunu procedūras</w:t>
      </w:r>
      <w:r w:rsidRPr="00B5541A">
        <w:rPr>
          <w:i/>
        </w:rPr>
        <w:t xml:space="preserve"> “</w:t>
      </w:r>
      <w:r>
        <w:rPr>
          <w:i/>
        </w:rPr>
        <w:t xml:space="preserve">Pārnēsājamā IED frekvenču slāpētāja </w:t>
      </w:r>
      <w:r>
        <w:rPr>
          <w:i/>
        </w:rPr>
        <w:t>iegāde</w:t>
      </w:r>
      <w:r w:rsidRPr="00B5541A">
        <w:rPr>
          <w:i/>
        </w:rPr>
        <w:t>”, identifikācijas Nr. VAMOIC 2018/</w:t>
      </w:r>
      <w:r>
        <w:rPr>
          <w:i/>
        </w:rPr>
        <w:t>252</w:t>
      </w:r>
      <w:r w:rsidRPr="00B5541A">
        <w:rPr>
          <w:i/>
        </w:rPr>
        <w:t xml:space="preserve">, nolikuma sastāvdaļa un ir saistošas visiem </w:t>
      </w:r>
      <w:r>
        <w:rPr>
          <w:i/>
        </w:rPr>
        <w:t>sarunu procedūras</w:t>
      </w:r>
      <w:r w:rsidRPr="00B5541A">
        <w:rPr>
          <w:i/>
        </w:rPr>
        <w:t xml:space="preserve"> pretendentiem.</w:t>
      </w:r>
    </w:p>
    <w:p w:rsidR="001E6419" w:rsidRPr="00D74984" w:rsidRDefault="001E6419" w:rsidP="00EB0706">
      <w:pPr>
        <w:jc w:val="both"/>
        <w:rPr>
          <w:rFonts w:cs="Times New Roman"/>
        </w:rPr>
      </w:pPr>
    </w:p>
    <w:sectPr w:rsidR="001E6419" w:rsidRPr="00D74984" w:rsidSect="00D74984">
      <w:pgSz w:w="11906" w:h="16838"/>
      <w:pgMar w:top="1135"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7A94"/>
    <w:multiLevelType w:val="multilevel"/>
    <w:tmpl w:val="EC52BBC2"/>
    <w:styleLink w:val="Style1311"/>
    <w:lvl w:ilvl="0">
      <w:start w:val="1"/>
      <w:numFmt w:val="decimal"/>
      <w:lvlText w:val="%1."/>
      <w:lvlJc w:val="left"/>
      <w:pPr>
        <w:ind w:left="360" w:hanging="360"/>
      </w:pPr>
      <w:rPr>
        <w:rFonts w:hint="default"/>
        <w:b w:val="0"/>
        <w:i w:val="0"/>
      </w:rPr>
    </w:lvl>
    <w:lvl w:ilvl="1">
      <w:start w:val="1"/>
      <w:numFmt w:val="decimal"/>
      <w:lvlText w:val="%1.%2."/>
      <w:lvlJc w:val="left"/>
      <w:pPr>
        <w:ind w:left="858" w:hanging="432"/>
      </w:pPr>
      <w:rPr>
        <w:b w:val="0"/>
        <w:i w:val="0"/>
        <w:strike w:val="0"/>
        <w:dstrike w:val="0"/>
      </w:rPr>
    </w:lvl>
    <w:lvl w:ilvl="2">
      <w:start w:val="1"/>
      <w:numFmt w:val="decimal"/>
      <w:lvlText w:val="%1.%2.%3."/>
      <w:lvlJc w:val="left"/>
      <w:pPr>
        <w:ind w:left="1214" w:hanging="504"/>
      </w:pPr>
      <w:rPr>
        <w:rFonts w:hint="default"/>
        <w:b w:val="0"/>
        <w:i w:val="0"/>
        <w:color w:val="auto"/>
      </w:rPr>
    </w:lvl>
    <w:lvl w:ilvl="3">
      <w:start w:val="1"/>
      <w:numFmt w:val="decimal"/>
      <w:lvlText w:val="%1.%2.%3.%4."/>
      <w:lvlJc w:val="left"/>
      <w:pPr>
        <w:ind w:left="2350"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7A86AEC"/>
    <w:multiLevelType w:val="hybridMultilevel"/>
    <w:tmpl w:val="B4546A3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40220E6F"/>
    <w:multiLevelType w:val="hybridMultilevel"/>
    <w:tmpl w:val="E2E65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6F11E99"/>
    <w:multiLevelType w:val="hybridMultilevel"/>
    <w:tmpl w:val="7A90424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6E0913A7"/>
    <w:multiLevelType w:val="hybridMultilevel"/>
    <w:tmpl w:val="1B120B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754989"/>
    <w:multiLevelType w:val="hybridMultilevel"/>
    <w:tmpl w:val="EE32A8C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7055BC7"/>
    <w:multiLevelType w:val="hybridMultilevel"/>
    <w:tmpl w:val="FBB269F6"/>
    <w:lvl w:ilvl="0" w:tplc="FC201AA2">
      <w:start w:val="5"/>
      <w:numFmt w:val="bullet"/>
      <w:lvlText w:val="-"/>
      <w:lvlJc w:val="left"/>
      <w:pPr>
        <w:ind w:left="720" w:hanging="360"/>
      </w:pPr>
      <w:rPr>
        <w:rFonts w:ascii="Times New Roman" w:eastAsia="Calibri" w:hAnsi="Times New Roman" w:cs="Times New Roman" w:hint="default"/>
        <w:color w:val="1F497D"/>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decimal"/>
        <w:lvlText w:val="%1."/>
        <w:lvlJc w:val="left"/>
        <w:pPr>
          <w:ind w:left="360" w:hanging="360"/>
        </w:pPr>
        <w:rPr>
          <w:rFonts w:hint="default"/>
          <w:b w:val="0"/>
          <w:i w:val="0"/>
        </w:rPr>
      </w:lvl>
    </w:lvlOverride>
    <w:lvlOverride w:ilvl="1">
      <w:lvl w:ilvl="1">
        <w:start w:val="1"/>
        <w:numFmt w:val="decimal"/>
        <w:lvlText w:val="%1.%2."/>
        <w:lvlJc w:val="left"/>
        <w:pPr>
          <w:ind w:left="858" w:hanging="432"/>
        </w:pPr>
        <w:rPr>
          <w:b w:val="0"/>
          <w:i w:val="0"/>
          <w:strike w:val="0"/>
          <w:dstrike w:val="0"/>
        </w:rPr>
      </w:lvl>
    </w:lvlOverride>
    <w:lvlOverride w:ilvl="2">
      <w:lvl w:ilvl="2">
        <w:start w:val="1"/>
        <w:numFmt w:val="decimal"/>
        <w:lvlText w:val="%1.%2.%3."/>
        <w:lvlJc w:val="left"/>
        <w:pPr>
          <w:ind w:left="1214" w:hanging="504"/>
        </w:pPr>
        <w:rPr>
          <w:rFonts w:hint="default"/>
          <w:b w:val="0"/>
          <w:i w:val="0"/>
          <w:color w:val="auto"/>
        </w:rPr>
      </w:lvl>
    </w:lvlOverride>
    <w:lvlOverride w:ilvl="3">
      <w:lvl w:ilvl="3">
        <w:start w:val="1"/>
        <w:numFmt w:val="decimal"/>
        <w:lvlText w:val="%1.%2.%3.%4."/>
        <w:lvlJc w:val="left"/>
        <w:pPr>
          <w:ind w:left="2350" w:hanging="648"/>
        </w:pPr>
        <w:rPr>
          <w:rFonts w:hint="default"/>
          <w:b w:val="0"/>
          <w:i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F9"/>
    <w:rsid w:val="001368CA"/>
    <w:rsid w:val="001806FF"/>
    <w:rsid w:val="001E6419"/>
    <w:rsid w:val="00202706"/>
    <w:rsid w:val="002051CF"/>
    <w:rsid w:val="002D54EE"/>
    <w:rsid w:val="004F6935"/>
    <w:rsid w:val="005868F0"/>
    <w:rsid w:val="006E38F9"/>
    <w:rsid w:val="00737107"/>
    <w:rsid w:val="00794C98"/>
    <w:rsid w:val="008C3D9E"/>
    <w:rsid w:val="00A60143"/>
    <w:rsid w:val="00B54155"/>
    <w:rsid w:val="00B66184"/>
    <w:rsid w:val="00BA33B6"/>
    <w:rsid w:val="00C77095"/>
    <w:rsid w:val="00CB1BC5"/>
    <w:rsid w:val="00CD5572"/>
    <w:rsid w:val="00D00E4D"/>
    <w:rsid w:val="00D227C4"/>
    <w:rsid w:val="00D74984"/>
    <w:rsid w:val="00DA561E"/>
    <w:rsid w:val="00E32F17"/>
    <w:rsid w:val="00EB0706"/>
    <w:rsid w:val="00F05239"/>
    <w:rsid w:val="00F64DC3"/>
    <w:rsid w:val="00F70618"/>
    <w:rsid w:val="00FB11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A20D"/>
  <w15:docId w15:val="{D67D0C15-B2EB-4D6A-BCC6-3824CD78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BC5"/>
    <w:pPr>
      <w:spacing w:after="0" w:line="240" w:lineRule="auto"/>
    </w:pPr>
    <w:rPr>
      <w:rFonts w:ascii="Times New Roman" w:hAnsi="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BC5"/>
    <w:pPr>
      <w:ind w:left="720"/>
    </w:pPr>
    <w:rPr>
      <w:rFonts w:ascii="Calibri" w:hAnsi="Calibri" w:cs="Times New Roman"/>
      <w:sz w:val="22"/>
      <w:szCs w:val="22"/>
      <w:lang w:eastAsia="en-US"/>
    </w:rPr>
  </w:style>
  <w:style w:type="numbering" w:customStyle="1" w:styleId="Style1311">
    <w:name w:val="Style1311"/>
    <w:rsid w:val="006E38F9"/>
    <w:pPr>
      <w:numPr>
        <w:numId w:val="3"/>
      </w:numPr>
    </w:pPr>
  </w:style>
  <w:style w:type="table" w:styleId="TableGrid">
    <w:name w:val="Table Grid"/>
    <w:basedOn w:val="TableNormal"/>
    <w:uiPriority w:val="59"/>
    <w:rsid w:val="006E3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4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DC3"/>
    <w:rPr>
      <w:rFonts w:ascii="Segoe U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08093">
      <w:bodyDiv w:val="1"/>
      <w:marLeft w:val="0"/>
      <w:marRight w:val="0"/>
      <w:marTop w:val="0"/>
      <w:marBottom w:val="0"/>
      <w:divBdr>
        <w:top w:val="none" w:sz="0" w:space="0" w:color="auto"/>
        <w:left w:val="none" w:sz="0" w:space="0" w:color="auto"/>
        <w:bottom w:val="none" w:sz="0" w:space="0" w:color="auto"/>
        <w:right w:val="none" w:sz="0" w:space="0" w:color="auto"/>
      </w:divBdr>
    </w:div>
    <w:div w:id="566115787">
      <w:bodyDiv w:val="1"/>
      <w:marLeft w:val="0"/>
      <w:marRight w:val="0"/>
      <w:marTop w:val="0"/>
      <w:marBottom w:val="0"/>
      <w:divBdr>
        <w:top w:val="none" w:sz="0" w:space="0" w:color="auto"/>
        <w:left w:val="none" w:sz="0" w:space="0" w:color="auto"/>
        <w:bottom w:val="none" w:sz="0" w:space="0" w:color="auto"/>
        <w:right w:val="none" w:sz="0" w:space="0" w:color="auto"/>
      </w:divBdr>
    </w:div>
    <w:div w:id="748428293">
      <w:bodyDiv w:val="1"/>
      <w:marLeft w:val="0"/>
      <w:marRight w:val="0"/>
      <w:marTop w:val="0"/>
      <w:marBottom w:val="0"/>
      <w:divBdr>
        <w:top w:val="none" w:sz="0" w:space="0" w:color="auto"/>
        <w:left w:val="none" w:sz="0" w:space="0" w:color="auto"/>
        <w:bottom w:val="none" w:sz="0" w:space="0" w:color="auto"/>
        <w:right w:val="none" w:sz="0" w:space="0" w:color="auto"/>
      </w:divBdr>
    </w:div>
    <w:div w:id="765879231">
      <w:bodyDiv w:val="1"/>
      <w:marLeft w:val="0"/>
      <w:marRight w:val="0"/>
      <w:marTop w:val="0"/>
      <w:marBottom w:val="0"/>
      <w:divBdr>
        <w:top w:val="none" w:sz="0" w:space="0" w:color="auto"/>
        <w:left w:val="none" w:sz="0" w:space="0" w:color="auto"/>
        <w:bottom w:val="none" w:sz="0" w:space="0" w:color="auto"/>
        <w:right w:val="none" w:sz="0" w:space="0" w:color="auto"/>
      </w:divBdr>
    </w:div>
    <w:div w:id="808861213">
      <w:bodyDiv w:val="1"/>
      <w:marLeft w:val="0"/>
      <w:marRight w:val="0"/>
      <w:marTop w:val="0"/>
      <w:marBottom w:val="0"/>
      <w:divBdr>
        <w:top w:val="none" w:sz="0" w:space="0" w:color="auto"/>
        <w:left w:val="none" w:sz="0" w:space="0" w:color="auto"/>
        <w:bottom w:val="none" w:sz="0" w:space="0" w:color="auto"/>
        <w:right w:val="none" w:sz="0" w:space="0" w:color="auto"/>
      </w:divBdr>
    </w:div>
    <w:div w:id="876308019">
      <w:bodyDiv w:val="1"/>
      <w:marLeft w:val="0"/>
      <w:marRight w:val="0"/>
      <w:marTop w:val="0"/>
      <w:marBottom w:val="0"/>
      <w:divBdr>
        <w:top w:val="none" w:sz="0" w:space="0" w:color="auto"/>
        <w:left w:val="none" w:sz="0" w:space="0" w:color="auto"/>
        <w:bottom w:val="none" w:sz="0" w:space="0" w:color="auto"/>
        <w:right w:val="none" w:sz="0" w:space="0" w:color="auto"/>
      </w:divBdr>
    </w:div>
    <w:div w:id="1463157712">
      <w:bodyDiv w:val="1"/>
      <w:marLeft w:val="0"/>
      <w:marRight w:val="0"/>
      <w:marTop w:val="0"/>
      <w:marBottom w:val="0"/>
      <w:divBdr>
        <w:top w:val="none" w:sz="0" w:space="0" w:color="auto"/>
        <w:left w:val="none" w:sz="0" w:space="0" w:color="auto"/>
        <w:bottom w:val="none" w:sz="0" w:space="0" w:color="auto"/>
        <w:right w:val="none" w:sz="0" w:space="0" w:color="auto"/>
      </w:divBdr>
    </w:div>
    <w:div w:id="2064794166">
      <w:bodyDiv w:val="1"/>
      <w:marLeft w:val="0"/>
      <w:marRight w:val="0"/>
      <w:marTop w:val="0"/>
      <w:marBottom w:val="0"/>
      <w:divBdr>
        <w:top w:val="none" w:sz="0" w:space="0" w:color="auto"/>
        <w:left w:val="none" w:sz="0" w:space="0" w:color="auto"/>
        <w:bottom w:val="none" w:sz="0" w:space="0" w:color="auto"/>
        <w:right w:val="none" w:sz="0" w:space="0" w:color="auto"/>
      </w:divBdr>
    </w:div>
    <w:div w:id="2087418738">
      <w:bodyDiv w:val="1"/>
      <w:marLeft w:val="0"/>
      <w:marRight w:val="0"/>
      <w:marTop w:val="0"/>
      <w:marBottom w:val="0"/>
      <w:divBdr>
        <w:top w:val="none" w:sz="0" w:space="0" w:color="auto"/>
        <w:left w:val="none" w:sz="0" w:space="0" w:color="auto"/>
        <w:bottom w:val="none" w:sz="0" w:space="0" w:color="auto"/>
        <w:right w:val="none" w:sz="0" w:space="0" w:color="auto"/>
      </w:divBdr>
    </w:div>
    <w:div w:id="209027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9F562-20F2-4CE7-898C-D28E937C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1557</Words>
  <Characters>889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Rinalda Grina</dc:creator>
  <cp:lastModifiedBy>Zane Berzina</cp:lastModifiedBy>
  <cp:revision>4</cp:revision>
  <dcterms:created xsi:type="dcterms:W3CDTF">2019-02-04T07:01:00Z</dcterms:created>
  <dcterms:modified xsi:type="dcterms:W3CDTF">2019-02-04T08:27:00Z</dcterms:modified>
</cp:coreProperties>
</file>