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946527" w:rsidRDefault="00CE6700" w:rsidP="00EC281F">
      <w:pPr>
        <w:jc w:val="center"/>
        <w:outlineLvl w:val="0"/>
        <w:rPr>
          <w:b/>
        </w:rPr>
      </w:pPr>
      <w:bookmarkStart w:id="0" w:name="_GoBack"/>
      <w:bookmarkEnd w:id="0"/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FB13B3">
        <w:rPr>
          <w:b/>
          <w:bCs/>
        </w:rPr>
        <w:t>Telpu un piegulošās teritorijas uzkopšanas pakalpojuma nodrošināšana Latvijas Kara muzejā Smilšu ielā 20, Rīgā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3975CF">
        <w:rPr>
          <w:bCs/>
        </w:rPr>
        <w:t>ntifikācijas Nr. VAMOIC 2018/173</w:t>
      </w:r>
      <w:r w:rsidRPr="00B24D14">
        <w:rPr>
          <w:bCs/>
        </w:rPr>
        <w:t>)</w:t>
      </w:r>
    </w:p>
    <w:p w:rsidR="003C3956" w:rsidRPr="00946527" w:rsidRDefault="00EB0ABC" w:rsidP="00875FDC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119"/>
        <w:gridCol w:w="4394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  <w:gridSpan w:val="2"/>
          </w:tcPr>
          <w:p w:rsidR="00EB0ABC" w:rsidRPr="00946527" w:rsidRDefault="000902AC" w:rsidP="00DE7C77">
            <w:pPr>
              <w:jc w:val="right"/>
            </w:pPr>
            <w:r w:rsidRPr="00C05133">
              <w:t>201</w:t>
            </w:r>
            <w:r w:rsidR="00FB13B3">
              <w:t>9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FB13B3">
              <w:t>4</w:t>
            </w:r>
            <w:r w:rsidR="00EB5731">
              <w:t>.</w:t>
            </w:r>
            <w:r w:rsidR="00FB13B3">
              <w:t>februā</w:t>
            </w:r>
            <w:r w:rsidR="00DE7C77">
              <w:t>rī</w:t>
            </w:r>
          </w:p>
        </w:tc>
      </w:tr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513" w:type="dxa"/>
            <w:gridSpan w:val="2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FB13B3">
              <w:t>173</w:t>
            </w:r>
          </w:p>
        </w:tc>
      </w:tr>
      <w:tr w:rsidR="009A5B3D" w:rsidRPr="00946527" w:rsidTr="00EE0CF7">
        <w:tc>
          <w:tcPr>
            <w:tcW w:w="2156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7513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EE0CF7">
        <w:tc>
          <w:tcPr>
            <w:tcW w:w="2156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EB0ABC" w:rsidRDefault="00C05133" w:rsidP="00C05133">
            <w:r>
              <w:t xml:space="preserve">IUB – </w:t>
            </w:r>
            <w:r w:rsidR="00767928">
              <w:t>10</w:t>
            </w:r>
            <w:r w:rsidR="00FB13B3">
              <w:t>.</w:t>
            </w:r>
            <w:r w:rsidR="00767928">
              <w:t>12</w:t>
            </w:r>
            <w:r w:rsidR="00DE7C77">
              <w:t>.2018</w:t>
            </w:r>
            <w:r>
              <w:t>.</w:t>
            </w:r>
          </w:p>
          <w:p w:rsidR="00453001" w:rsidRDefault="00B833B0" w:rsidP="00C05133">
            <w:r>
              <w:t>ESOV</w:t>
            </w:r>
            <w:r w:rsidR="00453001">
              <w:t xml:space="preserve"> – </w:t>
            </w:r>
            <w:r w:rsidR="00767928">
              <w:t>10</w:t>
            </w:r>
            <w:r w:rsidR="00FB13B3">
              <w:t>.</w:t>
            </w:r>
            <w:r w:rsidR="00767928">
              <w:t>12</w:t>
            </w:r>
            <w:r w:rsidR="00DE7C77">
              <w:t>.2018</w:t>
            </w:r>
            <w:r w:rsidR="008818FB">
              <w:t>.</w:t>
            </w:r>
          </w:p>
          <w:p w:rsidR="00C05133" w:rsidRPr="00C05133" w:rsidRDefault="00C05133" w:rsidP="002B5EB9"/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  <w:gridSpan w:val="2"/>
          </w:tcPr>
          <w:p w:rsidR="00B24D14" w:rsidRPr="00204E34" w:rsidRDefault="00FB13B3" w:rsidP="00DE7C77">
            <w:pPr>
              <w:ind w:right="34"/>
              <w:jc w:val="both"/>
            </w:pPr>
            <w:r w:rsidRPr="00886E8C">
              <w:t xml:space="preserve">Latvijas </w:t>
            </w:r>
            <w:r>
              <w:t>Kara muzejs</w:t>
            </w:r>
            <w:r w:rsidRPr="00886E8C">
              <w:t>, kas atrodas Smilšu ielā 20, Rīgā, LV-1050.</w:t>
            </w: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513" w:type="dxa"/>
            <w:gridSpan w:val="2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EA0913" w:rsidRDefault="00EA0913" w:rsidP="000E4ABE">
            <w:pPr>
              <w:jc w:val="both"/>
            </w:pPr>
            <w:r w:rsidRPr="00DE7C77">
              <w:t xml:space="preserve">Komisijas, kas izveidota ar Valsts aizsardzības militāro </w:t>
            </w:r>
            <w:r w:rsidR="00DE7C77" w:rsidRPr="00DE7C77">
              <w:t>objektu un iepirkumu centra 2018</w:t>
            </w:r>
            <w:r w:rsidRPr="00DE7C77">
              <w:t xml:space="preserve">. gada </w:t>
            </w:r>
            <w:r w:rsidR="00FB13B3">
              <w:t>4.septembr</w:t>
            </w:r>
            <w:r w:rsidR="00DE7C77" w:rsidRPr="00DE7C77">
              <w:t>a</w:t>
            </w:r>
            <w:r w:rsidRPr="00DE7C77">
              <w:t xml:space="preserve"> rīkojumu Nr.</w:t>
            </w:r>
            <w:r w:rsidR="00FB13B3">
              <w:t>RPDJ/2018-1179</w:t>
            </w:r>
            <w:r w:rsidRPr="00DE7C77">
              <w:t>, sastāvs:</w:t>
            </w:r>
          </w:p>
          <w:p w:rsidR="00FB13B3" w:rsidRPr="00FB13B3" w:rsidRDefault="00FB13B3" w:rsidP="00FB13B3">
            <w:pPr>
              <w:pStyle w:val="Subtitle"/>
              <w:numPr>
                <w:ilvl w:val="1"/>
                <w:numId w:val="11"/>
              </w:numPr>
              <w:ind w:left="1146"/>
              <w:jc w:val="both"/>
              <w:rPr>
                <w:szCs w:val="24"/>
              </w:rPr>
            </w:pPr>
            <w:r w:rsidRPr="00FB13B3">
              <w:rPr>
                <w:szCs w:val="24"/>
              </w:rPr>
              <w:t>Komisijas priekšsēdētāja – Linda Baumane, Centra Materiāltehnisko līdzekļu departamenta Centralizēto iepirkumu vadības nodaļas vadītājas vietniece.</w:t>
            </w:r>
          </w:p>
          <w:p w:rsidR="00FB13B3" w:rsidRPr="00FB13B3" w:rsidRDefault="00FB13B3" w:rsidP="00FB13B3">
            <w:pPr>
              <w:pStyle w:val="Subtitle"/>
              <w:numPr>
                <w:ilvl w:val="1"/>
                <w:numId w:val="11"/>
              </w:numPr>
              <w:ind w:left="1146"/>
              <w:jc w:val="both"/>
              <w:rPr>
                <w:szCs w:val="24"/>
              </w:rPr>
            </w:pPr>
            <w:r w:rsidRPr="00FB13B3">
              <w:rPr>
                <w:szCs w:val="24"/>
              </w:rPr>
              <w:t>Komisijas priekšsēdētājas vietniece – Rinalda Grīna, Centra Materiāltehnisko līdzekļu departamenta Centralizēto iepirkumu vadības nodaļas pārvaldes vecākā referente.</w:t>
            </w:r>
          </w:p>
          <w:p w:rsidR="00FB13B3" w:rsidRPr="00FB13B3" w:rsidRDefault="00FB13B3" w:rsidP="00FB13B3">
            <w:pPr>
              <w:pStyle w:val="Subtitle"/>
              <w:numPr>
                <w:ilvl w:val="1"/>
                <w:numId w:val="11"/>
              </w:numPr>
              <w:ind w:left="1146"/>
              <w:jc w:val="both"/>
              <w:rPr>
                <w:szCs w:val="24"/>
              </w:rPr>
            </w:pPr>
            <w:r w:rsidRPr="00FB13B3">
              <w:rPr>
                <w:szCs w:val="24"/>
              </w:rPr>
              <w:t>Komisijas juriste – Aija Bernāte, Centra Juridiskā un iepirkumu nodrošinājuma departamenta Centralizēto iepirkumu juridiskā nodrošinājuma nodaļas vecākā juriskonsulte.</w:t>
            </w:r>
          </w:p>
          <w:p w:rsidR="00FB13B3" w:rsidRPr="00FB13B3" w:rsidRDefault="00FB13B3" w:rsidP="00FB13B3">
            <w:pPr>
              <w:pStyle w:val="Subtitle"/>
              <w:numPr>
                <w:ilvl w:val="1"/>
                <w:numId w:val="11"/>
              </w:numPr>
              <w:ind w:left="1146"/>
              <w:jc w:val="both"/>
              <w:rPr>
                <w:szCs w:val="24"/>
              </w:rPr>
            </w:pPr>
            <w:r w:rsidRPr="00FB13B3">
              <w:rPr>
                <w:szCs w:val="24"/>
              </w:rPr>
              <w:t>Iepirkuma atbildīgā amatpersona – Gatis Plots, Latvijas Kara muzeja saimniecības nodaļas vadītājs.</w:t>
            </w:r>
          </w:p>
          <w:p w:rsidR="00FB13B3" w:rsidRPr="00FB13B3" w:rsidRDefault="00FB13B3" w:rsidP="00FB13B3">
            <w:pPr>
              <w:pStyle w:val="Subtitle"/>
              <w:numPr>
                <w:ilvl w:val="1"/>
                <w:numId w:val="11"/>
              </w:numPr>
              <w:ind w:left="1146"/>
              <w:jc w:val="both"/>
              <w:rPr>
                <w:szCs w:val="24"/>
              </w:rPr>
            </w:pPr>
            <w:r w:rsidRPr="00FB13B3">
              <w:rPr>
                <w:szCs w:val="24"/>
              </w:rPr>
              <w:t>Komisijas locekle – Sandra Aare, Centra Juridiskā un iepirkumu nodrošinājuma departamenta Centralizēto iepirkumu juridiskā nodrošinājuma nodaļas juriskonsulte.</w:t>
            </w:r>
          </w:p>
          <w:p w:rsidR="00DE7C77" w:rsidRPr="00FB13B3" w:rsidRDefault="00FB13B3" w:rsidP="00DE7C77">
            <w:pPr>
              <w:pStyle w:val="Subtitle"/>
              <w:numPr>
                <w:ilvl w:val="1"/>
                <w:numId w:val="11"/>
              </w:numPr>
              <w:ind w:left="1146"/>
              <w:jc w:val="both"/>
              <w:rPr>
                <w:szCs w:val="24"/>
              </w:rPr>
            </w:pPr>
            <w:r w:rsidRPr="00FB13B3">
              <w:rPr>
                <w:szCs w:val="24"/>
              </w:rPr>
              <w:t>Komisijas sekretāre - Ilona Petkeviča, Centra Materiāltehnisko līdzekļu departamenta Centralizēto iepirkumu vadības nodaļas pārvaldes vecākā referente.</w:t>
            </w:r>
          </w:p>
          <w:p w:rsidR="00616729" w:rsidRPr="003A0057" w:rsidRDefault="008818FB" w:rsidP="00FB13B3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lastRenderedPageBreak/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EE0CF7" w:rsidRPr="00DE7C77">
              <w:rPr>
                <w:rFonts w:eastAsia="Calibri"/>
                <w:lang w:eastAsia="en-US"/>
              </w:rPr>
              <w:t>a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r w:rsidR="00FB13B3">
              <w:rPr>
                <w:rFonts w:eastAsia="Calibri"/>
                <w:lang w:eastAsia="en-US"/>
              </w:rPr>
              <w:t>A.Fleija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2"/>
          </w:tcPr>
          <w:p w:rsidR="00F1531A" w:rsidRPr="00FB13B3" w:rsidRDefault="00FB13B3" w:rsidP="00FB13B3">
            <w:pPr>
              <w:shd w:val="clear" w:color="auto" w:fill="FFFFFF" w:themeFill="background1"/>
              <w:jc w:val="both"/>
            </w:pPr>
            <w:r w:rsidRPr="00FB13B3">
              <w:t>Iepirkuma priekšmets ir telpu un piegulošās teritorijas uzkopšanas pakalpojumu nodrošināšana Latvijas Kara muzejam Smilšu ielā 20, Rīgā (turpmāk – Pakalpojums) saskaņā ar tehnisko specifikāciju.</w:t>
            </w:r>
          </w:p>
        </w:tc>
      </w:tr>
      <w:tr w:rsidR="00D54EEE" w:rsidRPr="00946527" w:rsidTr="00850DB5">
        <w:trPr>
          <w:trHeight w:val="2684"/>
        </w:trPr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2"/>
          </w:tcPr>
          <w:p w:rsidR="00850DB5" w:rsidRDefault="00FB13B3" w:rsidP="00850DB5">
            <w:pPr>
              <w:shd w:val="clear" w:color="auto" w:fill="FFFFFF" w:themeFill="background1"/>
              <w:spacing w:line="252" w:lineRule="auto"/>
              <w:jc w:val="both"/>
            </w:pPr>
            <w:r>
              <w:rPr>
                <w:rFonts w:eastAsia="Calibri"/>
              </w:rPr>
              <w:t>N</w:t>
            </w:r>
            <w:r w:rsidRPr="00886E8C">
              <w:rPr>
                <w:rFonts w:eastAsia="Calibri"/>
              </w:rPr>
              <w:t>olikuma prasībām un tehniskajai specifikācijai</w:t>
            </w:r>
            <w:r w:rsidRPr="00886E8C">
              <w:t xml:space="preserve"> atbilstošs saimnieciski visizdevīgākais piedāvājums</w:t>
            </w:r>
          </w:p>
          <w:tbl>
            <w:tblPr>
              <w:tblW w:w="71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4"/>
              <w:gridCol w:w="2126"/>
              <w:gridCol w:w="851"/>
              <w:gridCol w:w="596"/>
              <w:gridCol w:w="963"/>
            </w:tblGrid>
            <w:tr w:rsidR="00FB13B3" w:rsidRPr="00FB13B3" w:rsidTr="00FB13B3">
              <w:tc>
                <w:tcPr>
                  <w:tcW w:w="4740" w:type="dxa"/>
                  <w:gridSpan w:val="2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center"/>
                    <w:rPr>
                      <w:b/>
                      <w:lang w:eastAsia="en-US"/>
                    </w:rPr>
                  </w:pPr>
                  <w:r w:rsidRPr="00FB13B3">
                    <w:rPr>
                      <w:b/>
                      <w:lang w:eastAsia="en-US"/>
                    </w:rPr>
                    <w:t>Piedāvājuma vērtēšanas kritērijs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center"/>
                    <w:rPr>
                      <w:b/>
                      <w:lang w:eastAsia="en-US"/>
                    </w:rPr>
                  </w:pPr>
                  <w:r w:rsidRPr="00FB13B3">
                    <w:rPr>
                      <w:b/>
                      <w:lang w:eastAsia="en-US"/>
                    </w:rPr>
                    <w:t>Apzīmējums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center"/>
                    <w:rPr>
                      <w:b/>
                      <w:lang w:eastAsia="en-US"/>
                    </w:rPr>
                  </w:pPr>
                  <w:r w:rsidRPr="00FB13B3">
                    <w:rPr>
                      <w:b/>
                      <w:lang w:eastAsia="en-US"/>
                    </w:rPr>
                    <w:t>Maksimālais punktu skaits</w:t>
                  </w:r>
                </w:p>
              </w:tc>
            </w:tr>
            <w:tr w:rsidR="00FB13B3" w:rsidRPr="00FB13B3" w:rsidTr="00FB13B3">
              <w:trPr>
                <w:trHeight w:val="20"/>
              </w:trPr>
              <w:tc>
                <w:tcPr>
                  <w:tcW w:w="4740" w:type="dxa"/>
                  <w:gridSpan w:val="2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Telpu un piegulošās teritorijas kopējā cena EUR bez PVN, kuras izdevīguma punktus aprēķina saskaņā ar šādu formulu:</w:t>
                  </w:r>
                </w:p>
                <w:p w:rsidR="00FB13B3" w:rsidRPr="00FB13B3" w:rsidRDefault="00FB13B3" w:rsidP="00FB13B3">
                  <w:pPr>
                    <w:ind w:left="142" w:right="130"/>
                    <w:jc w:val="both"/>
                    <w:rPr>
                      <w:b/>
                    </w:rPr>
                  </w:pPr>
                  <w:r w:rsidRPr="00FB13B3">
                    <w:rPr>
                      <w:b/>
                    </w:rPr>
                    <w:t>A = (A</w:t>
                  </w:r>
                  <w:r w:rsidRPr="00FB13B3">
                    <w:rPr>
                      <w:b/>
                      <w:vertAlign w:val="subscript"/>
                    </w:rPr>
                    <w:t>zc</w:t>
                  </w:r>
                  <w:r w:rsidRPr="00FB13B3">
                    <w:rPr>
                      <w:b/>
                    </w:rPr>
                    <w:t>: A</w:t>
                  </w:r>
                  <w:r w:rsidRPr="00FB13B3">
                    <w:rPr>
                      <w:b/>
                      <w:vertAlign w:val="subscript"/>
                    </w:rPr>
                    <w:t>vc</w:t>
                  </w:r>
                  <w:r w:rsidRPr="00FB13B3">
                    <w:rPr>
                      <w:b/>
                    </w:rPr>
                    <w:t xml:space="preserve">) x </w:t>
                  </w:r>
                  <w:r w:rsidRPr="00FB13B3">
                    <w:rPr>
                      <w:b/>
                      <w:bCs/>
                      <w:spacing w:val="2"/>
                    </w:rPr>
                    <w:t>80</w:t>
                  </w:r>
                </w:p>
                <w:p w:rsidR="00FB13B3" w:rsidRPr="00FB13B3" w:rsidRDefault="00FB13B3" w:rsidP="00FB13B3">
                  <w:pPr>
                    <w:ind w:left="142" w:right="130"/>
                    <w:jc w:val="both"/>
                  </w:pPr>
                  <w:r w:rsidRPr="00FB13B3">
                    <w:rPr>
                      <w:b/>
                      <w:bCs/>
                      <w:spacing w:val="2"/>
                    </w:rPr>
                    <w:t xml:space="preserve">A </w:t>
                  </w:r>
                  <w:r w:rsidRPr="00FB13B3">
                    <w:t>ir iegūtais punktu skaits,</w:t>
                  </w:r>
                </w:p>
                <w:p w:rsidR="00FB13B3" w:rsidRPr="00FB13B3" w:rsidRDefault="00FB13B3" w:rsidP="00FB13B3">
                  <w:pPr>
                    <w:ind w:left="142" w:right="130"/>
                    <w:jc w:val="both"/>
                  </w:pPr>
                  <w:r w:rsidRPr="00FB13B3">
                    <w:t>A</w:t>
                  </w:r>
                  <w:r w:rsidRPr="00FB13B3">
                    <w:rPr>
                      <w:vertAlign w:val="subscript"/>
                    </w:rPr>
                    <w:t xml:space="preserve">zc </w:t>
                  </w:r>
                  <w:r w:rsidRPr="00FB13B3">
                    <w:t>ir zemākā piedāvātā kopējā Pakalpojuma cena,</w:t>
                  </w:r>
                </w:p>
                <w:p w:rsidR="00FB13B3" w:rsidRPr="00FB13B3" w:rsidRDefault="00FB13B3" w:rsidP="00FB13B3">
                  <w:pPr>
                    <w:ind w:left="142" w:right="130"/>
                    <w:jc w:val="both"/>
                  </w:pPr>
                  <w:r w:rsidRPr="00FB13B3">
                    <w:t>A</w:t>
                  </w:r>
                  <w:r w:rsidRPr="00FB13B3">
                    <w:rPr>
                      <w:vertAlign w:val="subscript"/>
                    </w:rPr>
                    <w:t>vc</w:t>
                  </w:r>
                  <w:r w:rsidRPr="00FB13B3">
                    <w:t xml:space="preserve"> ir vērtējamā piedāvātā kopējā Pakalpojuma cena.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A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80</w:t>
                  </w:r>
                </w:p>
              </w:tc>
            </w:tr>
            <w:tr w:rsidR="00FB13B3" w:rsidRPr="00FB13B3" w:rsidTr="00FB13B3">
              <w:trPr>
                <w:trHeight w:val="678"/>
              </w:trPr>
              <w:tc>
                <w:tcPr>
                  <w:tcW w:w="2614" w:type="dxa"/>
                  <w:vMerge w:val="restart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rPr>
                      <w:lang w:eastAsia="en-US"/>
                    </w:rPr>
                  </w:pPr>
                  <w:r w:rsidRPr="00FB13B3">
                    <w:t>Piedāvātie tīrīšanas līdzekļi saskaņā ar 20.06.2017. Ministru kabineta noteikumiem Nr.353 “Prasības zaļajam publiskajam iepirkumam un to piemērošanas kārtība” 1.pielikumu ir sadalīti šādās grupās: universālie tīrīšanas līdzekļi, sanitārie tīrīšanas līdzekļi un logu (stikla) tīrīšanas līdzekļi. (Ja viens un tas pats tīrīšanas līdzeklis ar ekomarķējumu</w:t>
                  </w:r>
                  <w:r w:rsidRPr="00FB13B3">
                    <w:rPr>
                      <w:vertAlign w:val="superscript"/>
                    </w:rPr>
                    <w:footnoteReference w:id="1"/>
                  </w:r>
                  <w:r w:rsidRPr="00FB13B3">
                    <w:t xml:space="preserve"> tiek piedāvāts vairāk nekā vienā grupā, tad pretendents saņem 4 (četrus) punktus.) Piešķirtie punkti par katru tīrīšanas līdzekļu grupu tiek summēta pēc formulas B=B1+B2+B3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</w:pPr>
                  <w:r w:rsidRPr="00FB13B3">
                    <w:t>Pretendentam tiks piešķirti 7 punkti, ja pretendents pakalpojuma izpildē izmantos vismaz vienu universālo tīrīšanas līdzekli, kuram ir piešķirts I tipa ekomarķējums un tas netiks atkārtoti piedāvāts citā tīrīšanas līdzekļu grupā. (B1)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B</w:t>
                  </w:r>
                </w:p>
              </w:tc>
              <w:tc>
                <w:tcPr>
                  <w:tcW w:w="596" w:type="dxa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963" w:type="dxa"/>
                  <w:vMerge w:val="restart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15</w:t>
                  </w:r>
                </w:p>
              </w:tc>
            </w:tr>
            <w:tr w:rsidR="00FB13B3" w:rsidRPr="00FB13B3" w:rsidTr="00FB13B3">
              <w:trPr>
                <w:trHeight w:val="690"/>
              </w:trPr>
              <w:tc>
                <w:tcPr>
                  <w:tcW w:w="2614" w:type="dxa"/>
                  <w:vMerge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rPr>
                      <w:lang w:eastAsia="en-US"/>
                    </w:rPr>
                  </w:pPr>
                  <w:r w:rsidRPr="00FB13B3">
                    <w:t>Pretendentam tiks piešķirti 4 punkti, ja pretendents pakalpojuma izpildē izmantos vismaz vienu sanitāro tīrīšanas līdzekli, kuram ir piešķirts I tipa ekomarķējums. (B2)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963" w:type="dxa"/>
                  <w:vMerge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</w:p>
              </w:tc>
            </w:tr>
            <w:tr w:rsidR="00FB13B3" w:rsidRPr="00FB13B3" w:rsidTr="00FB13B3">
              <w:trPr>
                <w:trHeight w:val="810"/>
              </w:trPr>
              <w:tc>
                <w:tcPr>
                  <w:tcW w:w="2614" w:type="dxa"/>
                  <w:vMerge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rPr>
                      <w:lang w:eastAsia="en-US"/>
                    </w:rPr>
                  </w:pPr>
                  <w:r w:rsidRPr="00FB13B3">
                    <w:t xml:space="preserve">Pretendentam tiks piešķirti 4 punkti, ja pretendents pakalpojuma izpildē izmantos vismaz vienu logu (stikla) tīrīšanas </w:t>
                  </w:r>
                  <w:r w:rsidRPr="00FB13B3">
                    <w:lastRenderedPageBreak/>
                    <w:t>līdzekli, kuram ir piešķirts I tipa ekomarķējums. (B3)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963" w:type="dxa"/>
                  <w:vMerge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53"/>
                    <w:jc w:val="center"/>
                    <w:rPr>
                      <w:lang w:eastAsia="en-US"/>
                    </w:rPr>
                  </w:pPr>
                </w:p>
              </w:tc>
            </w:tr>
            <w:tr w:rsidR="00FB13B3" w:rsidRPr="00FB13B3" w:rsidTr="00FB13B3">
              <w:trPr>
                <w:trHeight w:val="20"/>
              </w:trPr>
              <w:tc>
                <w:tcPr>
                  <w:tcW w:w="4740" w:type="dxa"/>
                  <w:gridSpan w:val="2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ind w:left="142" w:right="130"/>
                    <w:jc w:val="both"/>
                  </w:pPr>
                  <w:r w:rsidRPr="00FB13B3">
                    <w:rPr>
                      <w:color w:val="000000" w:themeColor="text1"/>
                    </w:rPr>
                    <w:t>Ja pretendenta uzņēmumā uz piedāvājuma iesniegšanas dienu ir ieviesta vides vadības sistēma ISO 14001:2015 (vai vecāka), tad pretendents saņem 5 punktus. Ja attiecīgā sistēma nav ieviesta, tad pretendents saņem 0 (nulle) punktus.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left="-80" w:hanging="80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D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09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5</w:t>
                  </w:r>
                </w:p>
              </w:tc>
            </w:tr>
            <w:tr w:rsidR="00FB13B3" w:rsidRPr="00FB13B3" w:rsidTr="00FB13B3">
              <w:tc>
                <w:tcPr>
                  <w:tcW w:w="5591" w:type="dxa"/>
                  <w:gridSpan w:val="3"/>
                  <w:shd w:val="clear" w:color="auto" w:fill="auto"/>
                  <w:vAlign w:val="center"/>
                </w:tcPr>
                <w:p w:rsidR="00FB13B3" w:rsidRPr="00FB13B3" w:rsidRDefault="00FB13B3" w:rsidP="00FB13B3">
                  <w:pPr>
                    <w:widowControl w:val="0"/>
                    <w:jc w:val="right"/>
                    <w:rPr>
                      <w:lang w:eastAsia="en-US"/>
                    </w:rPr>
                  </w:pPr>
                  <w:r w:rsidRPr="00FB13B3">
                    <w:rPr>
                      <w:i/>
                      <w:lang w:eastAsia="en-US"/>
                    </w:rPr>
                    <w:t>Kopējais izdevīguma punktu skaits (K) :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B13B3" w:rsidRPr="00FB13B3" w:rsidRDefault="00FB13B3" w:rsidP="00FB13B3">
                  <w:pPr>
                    <w:widowControl w:val="0"/>
                    <w:ind w:hanging="109"/>
                    <w:jc w:val="center"/>
                    <w:rPr>
                      <w:lang w:eastAsia="en-US"/>
                    </w:rPr>
                  </w:pPr>
                  <w:r w:rsidRPr="00FB13B3">
                    <w:rPr>
                      <w:lang w:eastAsia="en-US"/>
                    </w:rPr>
                    <w:t>100</w:t>
                  </w:r>
                </w:p>
              </w:tc>
            </w:tr>
          </w:tbl>
          <w:p w:rsidR="00FB13B3" w:rsidRPr="00886E8C" w:rsidRDefault="00FB13B3" w:rsidP="00FB13B3">
            <w:pPr>
              <w:widowControl w:val="0"/>
              <w:jc w:val="both"/>
              <w:rPr>
                <w:szCs w:val="20"/>
                <w:lang w:eastAsia="en-US"/>
              </w:rPr>
            </w:pPr>
            <w:r w:rsidRPr="00886E8C">
              <w:rPr>
                <w:szCs w:val="20"/>
                <w:lang w:eastAsia="en-US"/>
              </w:rPr>
              <w:t>Iepirkuma komisija aprēķina izdevīguma punktus pēc augstāk minētām formulām, un iegūtie skaitļi tiek noapaļoti līdz 2 (divām) zīmēm aiz komata.</w:t>
            </w:r>
          </w:p>
          <w:p w:rsidR="00FB13B3" w:rsidRPr="00886E8C" w:rsidRDefault="00FB13B3" w:rsidP="00FB13B3">
            <w:pPr>
              <w:widowControl w:val="0"/>
              <w:jc w:val="both"/>
              <w:rPr>
                <w:szCs w:val="20"/>
                <w:lang w:eastAsia="en-US"/>
              </w:rPr>
            </w:pPr>
            <w:r w:rsidRPr="00886E8C">
              <w:rPr>
                <w:szCs w:val="20"/>
                <w:lang w:eastAsia="en-US"/>
              </w:rPr>
              <w:t>Punktu kopsumma tiks aprēķināta, izmatojot šādu formulu:</w:t>
            </w:r>
          </w:p>
          <w:p w:rsidR="00FB13B3" w:rsidRPr="00886E8C" w:rsidRDefault="00FB13B3" w:rsidP="00FB13B3">
            <w:pPr>
              <w:widowControl w:val="0"/>
              <w:ind w:left="993"/>
              <w:jc w:val="both"/>
              <w:rPr>
                <w:szCs w:val="20"/>
                <w:lang w:eastAsia="en-US"/>
              </w:rPr>
            </w:pPr>
            <w:r w:rsidRPr="00886E8C">
              <w:rPr>
                <w:b/>
                <w:szCs w:val="20"/>
                <w:lang w:eastAsia="en-US"/>
              </w:rPr>
              <w:t>K (visu vērtēšanas kritēriju punktu kopsumma) = A + B + D.</w:t>
            </w:r>
          </w:p>
          <w:p w:rsidR="00FB13B3" w:rsidRPr="00FB13B3" w:rsidRDefault="00FB13B3" w:rsidP="00FB13B3">
            <w:pPr>
              <w:widowControl w:val="0"/>
              <w:jc w:val="both"/>
              <w:rPr>
                <w:szCs w:val="20"/>
                <w:lang w:eastAsia="en-US"/>
              </w:rPr>
            </w:pPr>
            <w:r w:rsidRPr="00886E8C">
              <w:rPr>
                <w:szCs w:val="20"/>
                <w:lang w:eastAsia="en-US"/>
              </w:rPr>
              <w:t xml:space="preserve">Par saimnieciski visizdevīgāko piedāvājumu iepirkuma komisija atzīs tā pretendenta piedāvājumu, kas saņems lielāko visu vērtēšanas kritēriju punktu kopsummu ar </w:t>
            </w:r>
            <w:r>
              <w:rPr>
                <w:szCs w:val="20"/>
                <w:lang w:eastAsia="en-US"/>
              </w:rPr>
              <w:t>2 (</w:t>
            </w:r>
            <w:r w:rsidRPr="00886E8C">
              <w:rPr>
                <w:szCs w:val="20"/>
                <w:lang w:eastAsia="en-US"/>
              </w:rPr>
              <w:t>divām</w:t>
            </w:r>
            <w:r>
              <w:rPr>
                <w:szCs w:val="20"/>
                <w:lang w:eastAsia="en-US"/>
              </w:rPr>
              <w:t>)</w:t>
            </w:r>
            <w:r w:rsidRPr="00886E8C">
              <w:rPr>
                <w:szCs w:val="20"/>
                <w:lang w:eastAsia="en-US"/>
              </w:rPr>
              <w:t xml:space="preserve"> zīmēm aiz komata, piemērojot vispārīgi pieņemtos matemātikas noapaļošanas principus. Maksimālais iegūstamo punktu skaits ir 100 punkti.</w:t>
            </w:r>
          </w:p>
        </w:tc>
      </w:tr>
      <w:tr w:rsidR="00D54EEE" w:rsidRPr="00946527" w:rsidTr="00EE0CF7">
        <w:trPr>
          <w:trHeight w:val="600"/>
        </w:trPr>
        <w:tc>
          <w:tcPr>
            <w:tcW w:w="2156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850DB5" w:rsidRPr="00946527" w:rsidRDefault="004B3948" w:rsidP="00850DB5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183C5D">
              <w:rPr>
                <w:b/>
              </w:rPr>
              <w:t>10</w:t>
            </w:r>
            <w:r w:rsidR="00D73534">
              <w:rPr>
                <w:b/>
              </w:rPr>
              <w:t>.</w:t>
            </w:r>
            <w:r w:rsidR="00183C5D">
              <w:rPr>
                <w:b/>
              </w:rPr>
              <w:t>decembri</w:t>
            </w:r>
            <w:r w:rsidR="00DE7C77">
              <w:rPr>
                <w:b/>
              </w:rPr>
              <w:t>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</w:tc>
      </w:tr>
      <w:tr w:rsidR="00960008" w:rsidRPr="00946527" w:rsidTr="00EE0CF7">
        <w:trPr>
          <w:trHeight w:val="645"/>
        </w:trPr>
        <w:tc>
          <w:tcPr>
            <w:tcW w:w="2156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7513" w:type="dxa"/>
            <w:gridSpan w:val="2"/>
          </w:tcPr>
          <w:p w:rsidR="006C767B" w:rsidRPr="001F609C" w:rsidRDefault="00DE7C77" w:rsidP="00850DB5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 w:rsidR="00183C5D">
              <w:rPr>
                <w:b/>
              </w:rPr>
              <w:t>10</w:t>
            </w:r>
            <w:r w:rsidR="00D73534">
              <w:rPr>
                <w:b/>
              </w:rPr>
              <w:t>.</w:t>
            </w:r>
            <w:r w:rsidR="00183C5D">
              <w:rPr>
                <w:b/>
              </w:rPr>
              <w:t>decembrī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EE0CF7">
        <w:trPr>
          <w:trHeight w:val="525"/>
        </w:trPr>
        <w:tc>
          <w:tcPr>
            <w:tcW w:w="2156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513" w:type="dxa"/>
            <w:gridSpan w:val="2"/>
          </w:tcPr>
          <w:p w:rsidR="00D73534" w:rsidRDefault="00850DB5" w:rsidP="003A2F6E">
            <w:r>
              <w:t>Iesniegtie piedāvājumi:</w:t>
            </w:r>
          </w:p>
          <w:tbl>
            <w:tblPr>
              <w:tblStyle w:val="TableGrid"/>
              <w:tblW w:w="4949" w:type="pct"/>
              <w:tblLayout w:type="fixed"/>
              <w:tblLook w:val="04A0" w:firstRow="1" w:lastRow="0" w:firstColumn="1" w:lastColumn="0" w:noHBand="0" w:noVBand="1"/>
            </w:tblPr>
            <w:tblGrid>
              <w:gridCol w:w="1753"/>
              <w:gridCol w:w="1536"/>
              <w:gridCol w:w="1701"/>
              <w:gridCol w:w="2223"/>
            </w:tblGrid>
            <w:tr w:rsidR="00183C5D" w:rsidTr="00183C5D">
              <w:tc>
                <w:tcPr>
                  <w:tcW w:w="1215" w:type="pct"/>
                  <w:shd w:val="pct10" w:color="auto" w:fill="auto"/>
                </w:tcPr>
                <w:p w:rsidR="00183C5D" w:rsidRPr="00FE6B7C" w:rsidRDefault="00183C5D" w:rsidP="00183C5D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065" w:type="pct"/>
                  <w:shd w:val="pct10" w:color="auto" w:fill="auto"/>
                </w:tcPr>
                <w:p w:rsidR="00183C5D" w:rsidRPr="00FE6B7C" w:rsidRDefault="00183C5D" w:rsidP="00183C5D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179" w:type="pct"/>
                  <w:shd w:val="pct10" w:color="auto" w:fill="auto"/>
                </w:tcPr>
                <w:p w:rsidR="00183C5D" w:rsidRPr="00E26FBC" w:rsidRDefault="00183C5D" w:rsidP="00183C5D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pakalpojuma kopējā cena</w:t>
                  </w:r>
                </w:p>
              </w:tc>
              <w:tc>
                <w:tcPr>
                  <w:tcW w:w="1541" w:type="pct"/>
                  <w:shd w:val="pct10" w:color="auto" w:fill="auto"/>
                </w:tcPr>
                <w:p w:rsidR="00183C5D" w:rsidRPr="00E26FBC" w:rsidRDefault="00183C5D" w:rsidP="00183C5D">
                  <w:pPr>
                    <w:rPr>
                      <w:b/>
                    </w:rPr>
                  </w:pPr>
                  <w:r>
                    <w:rPr>
                      <w:b/>
                    </w:rPr>
                    <w:t>piezīme</w:t>
                  </w:r>
                </w:p>
              </w:tc>
            </w:tr>
            <w:tr w:rsidR="00183C5D" w:rsidTr="00183C5D">
              <w:tc>
                <w:tcPr>
                  <w:tcW w:w="121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>
                    <w:t>"CHS" SIA</w:t>
                  </w:r>
                </w:p>
              </w:tc>
              <w:tc>
                <w:tcPr>
                  <w:tcW w:w="106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 w:rsidRPr="00FE6B7C">
                    <w:t>10.12.2018 plkst. 09:08</w:t>
                  </w:r>
                </w:p>
              </w:tc>
              <w:tc>
                <w:tcPr>
                  <w:tcW w:w="1179" w:type="pct"/>
                </w:tcPr>
                <w:p w:rsidR="00183C5D" w:rsidRPr="00183C5D" w:rsidRDefault="00183C5D" w:rsidP="00183C5D">
                  <w:r>
                    <w:t>EIRO 143943.12</w:t>
                  </w:r>
                </w:p>
              </w:tc>
              <w:tc>
                <w:tcPr>
                  <w:tcW w:w="1541" w:type="pct"/>
                </w:tcPr>
                <w:p w:rsidR="00183C5D" w:rsidRDefault="00183C5D" w:rsidP="00183C5D"/>
              </w:tc>
            </w:tr>
            <w:tr w:rsidR="00183C5D" w:rsidTr="00183C5D">
              <w:tc>
                <w:tcPr>
                  <w:tcW w:w="121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>
                    <w:t>"Clean R" SIA</w:t>
                  </w:r>
                </w:p>
              </w:tc>
              <w:tc>
                <w:tcPr>
                  <w:tcW w:w="106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 w:rsidRPr="00FE6B7C">
                    <w:t>06.12.2018 plkst. 11:27</w:t>
                  </w:r>
                </w:p>
              </w:tc>
              <w:tc>
                <w:tcPr>
                  <w:tcW w:w="1179" w:type="pct"/>
                </w:tcPr>
                <w:p w:rsidR="00183C5D" w:rsidRPr="00183C5D" w:rsidRDefault="00183C5D" w:rsidP="00183C5D">
                  <w:r>
                    <w:t>EIRO 256032.36</w:t>
                  </w:r>
                </w:p>
              </w:tc>
              <w:tc>
                <w:tcPr>
                  <w:tcW w:w="1541" w:type="pct"/>
                </w:tcPr>
                <w:p w:rsidR="00183C5D" w:rsidRDefault="00183C5D" w:rsidP="00183C5D"/>
              </w:tc>
            </w:tr>
            <w:tr w:rsidR="00183C5D" w:rsidTr="00183C5D">
              <w:tc>
                <w:tcPr>
                  <w:tcW w:w="121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>
                    <w:t>"Hagberg" SIA</w:t>
                  </w:r>
                </w:p>
              </w:tc>
              <w:tc>
                <w:tcPr>
                  <w:tcW w:w="106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 w:rsidRPr="00FE6B7C">
                    <w:t>10.12.2018 plkst. 10:31</w:t>
                  </w:r>
                </w:p>
              </w:tc>
              <w:tc>
                <w:tcPr>
                  <w:tcW w:w="1179" w:type="pct"/>
                </w:tcPr>
                <w:p w:rsidR="00183C5D" w:rsidRPr="00183C5D" w:rsidRDefault="00183C5D" w:rsidP="00183C5D">
                  <w:r>
                    <w:t>EIRO 159840</w:t>
                  </w:r>
                </w:p>
              </w:tc>
              <w:tc>
                <w:tcPr>
                  <w:tcW w:w="1541" w:type="pct"/>
                </w:tcPr>
                <w:p w:rsidR="00183C5D" w:rsidRDefault="00183C5D" w:rsidP="00183C5D"/>
              </w:tc>
            </w:tr>
            <w:tr w:rsidR="00183C5D" w:rsidTr="00183C5D">
              <w:tc>
                <w:tcPr>
                  <w:tcW w:w="121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>
                    <w:t>"MARIVO" SIA</w:t>
                  </w:r>
                </w:p>
              </w:tc>
              <w:tc>
                <w:tcPr>
                  <w:tcW w:w="106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 w:rsidRPr="00FE6B7C">
                    <w:t>07.12.2018 plkst. 13:24</w:t>
                  </w:r>
                </w:p>
              </w:tc>
              <w:tc>
                <w:tcPr>
                  <w:tcW w:w="1179" w:type="pct"/>
                </w:tcPr>
                <w:p w:rsidR="00183C5D" w:rsidRPr="00183C5D" w:rsidRDefault="00183C5D" w:rsidP="00183C5D">
                  <w:r>
                    <w:t>EIRO 156389.76</w:t>
                  </w:r>
                </w:p>
              </w:tc>
              <w:tc>
                <w:tcPr>
                  <w:tcW w:w="1541" w:type="pct"/>
                </w:tcPr>
                <w:p w:rsidR="00183C5D" w:rsidRDefault="00183C5D" w:rsidP="00183C5D"/>
              </w:tc>
            </w:tr>
            <w:tr w:rsidR="00183C5D" w:rsidTr="00183C5D">
              <w:tc>
                <w:tcPr>
                  <w:tcW w:w="121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>
                    <w:t>SOL Baltics OU Latvijas Filiāle</w:t>
                  </w:r>
                </w:p>
              </w:tc>
              <w:tc>
                <w:tcPr>
                  <w:tcW w:w="1065" w:type="pct"/>
                </w:tcPr>
                <w:p w:rsidR="00183C5D" w:rsidRPr="00FE6B7C" w:rsidRDefault="00183C5D" w:rsidP="00183C5D">
                  <w:pPr>
                    <w:rPr>
                      <w:bCs/>
                    </w:rPr>
                  </w:pPr>
                  <w:r w:rsidRPr="00FE6B7C">
                    <w:t>06.12.2018 plkst. 15:00</w:t>
                  </w:r>
                </w:p>
              </w:tc>
              <w:tc>
                <w:tcPr>
                  <w:tcW w:w="1179" w:type="pct"/>
                </w:tcPr>
                <w:p w:rsidR="00183C5D" w:rsidRPr="00183C5D" w:rsidRDefault="00183C5D" w:rsidP="00183C5D">
                  <w:r>
                    <w:t>EIRO 143970.4</w:t>
                  </w:r>
                </w:p>
              </w:tc>
              <w:tc>
                <w:tcPr>
                  <w:tcW w:w="1541" w:type="pct"/>
                </w:tcPr>
                <w:p w:rsidR="00183C5D" w:rsidRDefault="00183C5D" w:rsidP="00183C5D">
                  <w:r>
                    <w:t>Finanšu piedāvājumā ir konstatēta aritmētiskā kļūda. Pēc kļūdu labojuma veikšanas piedāvājuma kopējā cena ir 144770,40 EUR bez PVN.</w:t>
                  </w:r>
                </w:p>
              </w:tc>
            </w:tr>
          </w:tbl>
          <w:p w:rsidR="00850DB5" w:rsidRPr="002B1590" w:rsidRDefault="00850DB5" w:rsidP="00183C5D"/>
        </w:tc>
      </w:tr>
      <w:tr w:rsidR="00A1635F" w:rsidRPr="00946527" w:rsidTr="00E01657">
        <w:trPr>
          <w:trHeight w:val="1977"/>
        </w:trPr>
        <w:tc>
          <w:tcPr>
            <w:tcW w:w="2156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183C5D" w:rsidRDefault="00183C5D" w:rsidP="00183C5D">
            <w:pPr>
              <w:jc w:val="both"/>
            </w:pPr>
            <w:r w:rsidRPr="008B5853">
              <w:t>Pamatojoties uz Publisko iepirkumu likuma 51.panta pirmo daļu, Ministru kabineta 28.02.2017. noteikumu Nr. 107 “Iepirkuma procedūru un metu konkursu norises kārtība” 18.punktu</w:t>
            </w:r>
            <w:r>
              <w:t xml:space="preserve"> un atklāta konkursa nolikuma 52</w:t>
            </w:r>
            <w:r w:rsidRPr="008B5853">
              <w:t xml:space="preserve">.1.punktu, līguma slēgšanas tiesības </w:t>
            </w:r>
            <w:r>
              <w:t>telpu un piegulošās teritorijas uzkopšanas pakalpojuma nodrošināšanā Latvijas Kara muzejā,</w:t>
            </w:r>
            <w:r w:rsidRPr="008B5853">
              <w:t xml:space="preserve"> Smilšu ielā 20, Rīgā</w:t>
            </w:r>
            <w:r>
              <w:t xml:space="preserve"> no 01.04</w:t>
            </w:r>
            <w:r w:rsidRPr="008B5853">
              <w:t xml:space="preserve">.2019. </w:t>
            </w:r>
            <w:r>
              <w:t>līdz 31.03</w:t>
            </w:r>
            <w:r w:rsidRPr="008B5853">
              <w:t>.2022. piešķirt SIA „</w:t>
            </w:r>
            <w:r>
              <w:t>CHS</w:t>
            </w:r>
            <w:r w:rsidRPr="008B5853">
              <w:t>”, reģ. Nr. </w:t>
            </w:r>
            <w:r>
              <w:t>40103924749</w:t>
            </w:r>
            <w:r w:rsidRPr="008B5853">
              <w:t>,</w:t>
            </w:r>
            <w:r>
              <w:t xml:space="preserve"> piesaistot apakšuzņēmēju SIA “Cleanhouse”, reģ. Nr. 40003371991,</w:t>
            </w:r>
            <w:r w:rsidRPr="008B5853">
              <w:t xml:space="preserve"> par kopējo līguma summu </w:t>
            </w:r>
            <w:r>
              <w:t>143 943,12</w:t>
            </w:r>
            <w:r w:rsidRPr="008B5853">
              <w:t xml:space="preserve"> EUR bez PVN.</w:t>
            </w:r>
          </w:p>
          <w:p w:rsidR="00E01657" w:rsidRPr="00284001" w:rsidRDefault="00183C5D" w:rsidP="00183C5D">
            <w:pPr>
              <w:jc w:val="both"/>
            </w:pPr>
            <w:r w:rsidRPr="000E4358">
              <w:t>Līguma slēgšanas tiesības piešķirtas, jo pretendents ir piedāvājis nolikuma prasībām atbilstošu saimnieciski visizdevīgāko piedāvājumu.</w:t>
            </w:r>
            <w:r w:rsidRPr="000E4358">
              <w:rPr>
                <w:lang w:val="x-none" w:eastAsia="x-none"/>
              </w:rPr>
              <w:t xml:space="preserve"> Veicot piedāvājuma vērtēšanu, izmantojot izdevīguma punkt</w:t>
            </w:r>
            <w:r>
              <w:rPr>
                <w:lang w:val="x-none" w:eastAsia="x-none"/>
              </w:rPr>
              <w:t>u metodi, pretendents ieguva 100</w:t>
            </w:r>
            <w:r w:rsidRPr="000E4358">
              <w:rPr>
                <w:lang w:val="x-none" w:eastAsia="x-none"/>
              </w:rPr>
              <w:t xml:space="preserve"> punktus (iegūtie punkti</w:t>
            </w:r>
            <w:r>
              <w:rPr>
                <w:lang w:eastAsia="x-none"/>
              </w:rPr>
              <w:t xml:space="preserve">: A kritērijs </w:t>
            </w:r>
            <w:r>
              <w:rPr>
                <w:lang w:val="x-none" w:eastAsia="x-none"/>
              </w:rPr>
              <w:t>– 80 punkti</w:t>
            </w:r>
            <w:r w:rsidRPr="000E4358">
              <w:rPr>
                <w:lang w:val="x-none" w:eastAsia="x-none"/>
              </w:rPr>
              <w:t xml:space="preserve">, </w:t>
            </w:r>
            <w:r>
              <w:rPr>
                <w:lang w:eastAsia="x-none"/>
              </w:rPr>
              <w:t>B kritērijs</w:t>
            </w:r>
            <w:r w:rsidRPr="000E4358">
              <w:rPr>
                <w:lang w:val="x-none" w:eastAsia="x-none"/>
              </w:rPr>
              <w:t xml:space="preserve"> – 15 punkti, </w:t>
            </w:r>
            <w:r>
              <w:rPr>
                <w:lang w:eastAsia="x-none"/>
              </w:rPr>
              <w:t>D kritērijs</w:t>
            </w:r>
            <w:r>
              <w:rPr>
                <w:lang w:val="x-none" w:eastAsia="x-none"/>
              </w:rPr>
              <w:t xml:space="preserve"> – 5</w:t>
            </w:r>
            <w:r w:rsidRPr="000E4358">
              <w:rPr>
                <w:lang w:val="x-none" w:eastAsia="x-none"/>
              </w:rPr>
              <w:t xml:space="preserve"> punkti).</w:t>
            </w:r>
          </w:p>
        </w:tc>
      </w:tr>
      <w:tr w:rsidR="006A6808" w:rsidRPr="00946527" w:rsidTr="00EE0CF7">
        <w:trPr>
          <w:trHeight w:val="354"/>
        </w:trPr>
        <w:tc>
          <w:tcPr>
            <w:tcW w:w="2156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apakšuzņēmējam/iem, kā arī apakšuzņēmēju nosaukumi:</w:t>
            </w:r>
          </w:p>
        </w:tc>
        <w:tc>
          <w:tcPr>
            <w:tcW w:w="7513" w:type="dxa"/>
            <w:gridSpan w:val="2"/>
            <w:vAlign w:val="center"/>
          </w:tcPr>
          <w:p w:rsidR="00053BE5" w:rsidRDefault="00053BE5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SIA “</w:t>
            </w:r>
            <w:r w:rsidR="00183C5D">
              <w:rPr>
                <w:rFonts w:eastAsia="Calibri"/>
                <w:lang w:eastAsia="en-US"/>
              </w:rPr>
              <w:t>CHS</w:t>
            </w:r>
            <w:r>
              <w:rPr>
                <w:rFonts w:eastAsia="Calibri"/>
                <w:lang w:eastAsia="en-US"/>
              </w:rPr>
              <w:t>” piesaista apakšuzņēmēju SIA “</w:t>
            </w:r>
            <w:r w:rsidR="00183C5D">
              <w:rPr>
                <w:rFonts w:eastAsia="Calibri"/>
                <w:lang w:eastAsia="en-US"/>
              </w:rPr>
              <w:t>Cleanhouse</w:t>
            </w:r>
            <w:r>
              <w:rPr>
                <w:rFonts w:eastAsia="Calibri"/>
                <w:lang w:eastAsia="en-US"/>
              </w:rPr>
              <w:t>”</w:t>
            </w:r>
            <w:r w:rsidR="00183C5D">
              <w:rPr>
                <w:rFonts w:eastAsia="Calibri"/>
                <w:lang w:eastAsia="en-US"/>
              </w:rPr>
              <w:t>, apakšuzņēmējam nododamās līguma daļas apjoms ir 10%</w:t>
            </w:r>
            <w:r>
              <w:rPr>
                <w:rFonts w:eastAsia="Calibri"/>
                <w:lang w:eastAsia="en-US"/>
              </w:rPr>
              <w:t>.</w:t>
            </w:r>
          </w:p>
          <w:p w:rsidR="000967D3" w:rsidRPr="008F1171" w:rsidRDefault="000967D3" w:rsidP="00183C5D">
            <w:pPr>
              <w:spacing w:before="120"/>
              <w:contextualSpacing/>
              <w:rPr>
                <w:rFonts w:eastAsia="Calibri"/>
                <w:lang w:eastAsia="en-US"/>
              </w:rPr>
            </w:pPr>
          </w:p>
        </w:tc>
      </w:tr>
      <w:tr w:rsidR="005D1054" w:rsidRPr="00946527" w:rsidTr="00EE0CF7">
        <w:trPr>
          <w:trHeight w:val="354"/>
        </w:trPr>
        <w:tc>
          <w:tcPr>
            <w:tcW w:w="2156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183C5D" w:rsidRPr="008B5853" w:rsidRDefault="00183C5D" w:rsidP="00183C5D">
            <w:pPr>
              <w:numPr>
                <w:ilvl w:val="0"/>
                <w:numId w:val="32"/>
              </w:numPr>
              <w:contextualSpacing/>
              <w:jc w:val="both"/>
              <w:rPr>
                <w:b/>
              </w:rPr>
            </w:pPr>
            <w:r w:rsidRPr="008B5853">
              <w:rPr>
                <w:lang w:eastAsia="en-US"/>
              </w:rPr>
              <w:t xml:space="preserve">Nepiešķirt līguma slēgšanas tiesības </w:t>
            </w:r>
            <w:r>
              <w:rPr>
                <w:lang w:eastAsia="en-US"/>
              </w:rPr>
              <w:t>SOL Baltics OU Latvijas Filiāle</w:t>
            </w:r>
            <w:r w:rsidRPr="008B5853">
              <w:rPr>
                <w:lang w:eastAsia="en-US"/>
              </w:rPr>
              <w:t>, reģ. Nr.</w:t>
            </w:r>
            <w:r>
              <w:rPr>
                <w:lang w:eastAsia="en-US"/>
              </w:rPr>
              <w:t>40103933760</w:t>
            </w:r>
            <w:r w:rsidRPr="008B5853">
              <w:rPr>
                <w:lang w:eastAsia="en-US"/>
              </w:rPr>
              <w:t>, jo pretendenta piedāvājums n</w:t>
            </w:r>
            <w:r>
              <w:rPr>
                <w:lang w:eastAsia="en-US"/>
              </w:rPr>
              <w:t>av saimnieciski visizdevīgākais.</w:t>
            </w:r>
            <w:r w:rsidRPr="00F361B9">
              <w:rPr>
                <w:lang w:val="x-none" w:eastAsia="x-none"/>
              </w:rPr>
              <w:t xml:space="preserve"> </w:t>
            </w:r>
            <w:r w:rsidRPr="000E4358">
              <w:rPr>
                <w:lang w:val="x-none" w:eastAsia="x-none"/>
              </w:rPr>
              <w:t>Veicot piedāvājuma vērtēšanu, izmantojot izdevīguma punkt</w:t>
            </w:r>
            <w:r>
              <w:rPr>
                <w:lang w:val="x-none" w:eastAsia="x-none"/>
              </w:rPr>
              <w:t xml:space="preserve">u metodi, pretendents ieguva </w:t>
            </w:r>
            <w:r>
              <w:rPr>
                <w:lang w:eastAsia="x-none"/>
              </w:rPr>
              <w:t>99,54</w:t>
            </w:r>
            <w:r w:rsidRPr="000E4358">
              <w:rPr>
                <w:lang w:val="x-none" w:eastAsia="x-none"/>
              </w:rPr>
              <w:t xml:space="preserve"> punktus (iegūtie punkti</w:t>
            </w:r>
            <w:r>
              <w:rPr>
                <w:lang w:eastAsia="x-none"/>
              </w:rPr>
              <w:t xml:space="preserve">: A kritērijs </w:t>
            </w:r>
            <w:r>
              <w:rPr>
                <w:lang w:val="x-none" w:eastAsia="x-none"/>
              </w:rPr>
              <w:t>– 79,54</w:t>
            </w:r>
            <w:r w:rsidRPr="000E4358">
              <w:rPr>
                <w:lang w:val="x-none" w:eastAsia="x-none"/>
              </w:rPr>
              <w:t xml:space="preserve"> punkti, </w:t>
            </w:r>
            <w:r>
              <w:rPr>
                <w:lang w:eastAsia="x-none"/>
              </w:rPr>
              <w:t>B kritērijs</w:t>
            </w:r>
            <w:r w:rsidRPr="000E4358">
              <w:rPr>
                <w:lang w:val="x-none" w:eastAsia="x-none"/>
              </w:rPr>
              <w:t xml:space="preserve"> – 15 punkti, </w:t>
            </w:r>
            <w:r>
              <w:rPr>
                <w:lang w:eastAsia="x-none"/>
              </w:rPr>
              <w:t>D kritērijs</w:t>
            </w:r>
            <w:r>
              <w:rPr>
                <w:lang w:val="x-none" w:eastAsia="x-none"/>
              </w:rPr>
              <w:t xml:space="preserve"> – 5</w:t>
            </w:r>
            <w:r w:rsidRPr="000E4358">
              <w:rPr>
                <w:lang w:val="x-none" w:eastAsia="x-none"/>
              </w:rPr>
              <w:t xml:space="preserve"> punkti).</w:t>
            </w:r>
          </w:p>
          <w:p w:rsidR="00183C5D" w:rsidRPr="008B5853" w:rsidRDefault="00183C5D" w:rsidP="00183C5D">
            <w:pPr>
              <w:numPr>
                <w:ilvl w:val="0"/>
                <w:numId w:val="32"/>
              </w:numPr>
              <w:contextualSpacing/>
              <w:jc w:val="both"/>
              <w:rPr>
                <w:b/>
              </w:rPr>
            </w:pPr>
            <w:r w:rsidRPr="008B5853">
              <w:rPr>
                <w:lang w:eastAsia="en-US"/>
              </w:rPr>
              <w:t xml:space="preserve">Nepiešķirt līguma slēgšanas tiesības </w:t>
            </w:r>
            <w:r>
              <w:rPr>
                <w:lang w:eastAsia="en-US"/>
              </w:rPr>
              <w:t>SIA</w:t>
            </w:r>
            <w:r w:rsidRPr="008B5853">
              <w:rPr>
                <w:lang w:eastAsia="en-US"/>
              </w:rPr>
              <w:t xml:space="preserve"> “</w:t>
            </w:r>
            <w:r>
              <w:rPr>
                <w:lang w:eastAsia="en-US"/>
              </w:rPr>
              <w:t>Marivo</w:t>
            </w:r>
            <w:r w:rsidRPr="008B5853">
              <w:rPr>
                <w:lang w:eastAsia="en-US"/>
              </w:rPr>
              <w:t>”, reģ. Nr.</w:t>
            </w:r>
            <w:r w:rsidRPr="008B5853">
              <w:t xml:space="preserve"> </w:t>
            </w:r>
            <w:r>
              <w:rPr>
                <w:lang w:eastAsia="en-US"/>
              </w:rPr>
              <w:t>40203012377</w:t>
            </w:r>
            <w:r w:rsidRPr="008B5853">
              <w:rPr>
                <w:lang w:eastAsia="en-US"/>
              </w:rPr>
              <w:t>, jo pretendenta piedāvājums n</w:t>
            </w:r>
            <w:r>
              <w:rPr>
                <w:lang w:eastAsia="en-US"/>
              </w:rPr>
              <w:t>av saimnieciski visizdevīgākais.</w:t>
            </w:r>
            <w:r w:rsidRPr="00F361B9">
              <w:rPr>
                <w:lang w:val="x-none" w:eastAsia="x-none"/>
              </w:rPr>
              <w:t xml:space="preserve"> </w:t>
            </w:r>
            <w:r w:rsidRPr="000E4358">
              <w:rPr>
                <w:lang w:val="x-none" w:eastAsia="x-none"/>
              </w:rPr>
              <w:t>Veicot piedāvājuma vērtēšanu, izmantojot izdevīguma punkt</w:t>
            </w:r>
            <w:r>
              <w:rPr>
                <w:lang w:val="x-none" w:eastAsia="x-none"/>
              </w:rPr>
              <w:t xml:space="preserve">u metodi, pretendents ieguva </w:t>
            </w:r>
            <w:r>
              <w:rPr>
                <w:lang w:eastAsia="x-none"/>
              </w:rPr>
              <w:t>93,63</w:t>
            </w:r>
            <w:r w:rsidRPr="000E4358">
              <w:rPr>
                <w:lang w:val="x-none" w:eastAsia="x-none"/>
              </w:rPr>
              <w:t xml:space="preserve"> punktus (iegūtie punkti</w:t>
            </w:r>
            <w:r>
              <w:rPr>
                <w:lang w:eastAsia="x-none"/>
              </w:rPr>
              <w:t xml:space="preserve">: A kritērijs </w:t>
            </w:r>
            <w:r>
              <w:rPr>
                <w:lang w:val="x-none" w:eastAsia="x-none"/>
              </w:rPr>
              <w:t>– 73,63</w:t>
            </w:r>
            <w:r w:rsidRPr="000E4358">
              <w:rPr>
                <w:lang w:val="x-none" w:eastAsia="x-none"/>
              </w:rPr>
              <w:t xml:space="preserve"> punkti, </w:t>
            </w:r>
            <w:r>
              <w:rPr>
                <w:lang w:eastAsia="x-none"/>
              </w:rPr>
              <w:t>B kritērijs</w:t>
            </w:r>
            <w:r w:rsidRPr="000E4358">
              <w:rPr>
                <w:lang w:val="x-none" w:eastAsia="x-none"/>
              </w:rPr>
              <w:t xml:space="preserve"> – 15 punkti, </w:t>
            </w:r>
            <w:r>
              <w:rPr>
                <w:lang w:eastAsia="x-none"/>
              </w:rPr>
              <w:t>D kritērijs</w:t>
            </w:r>
            <w:r>
              <w:rPr>
                <w:lang w:val="x-none" w:eastAsia="x-none"/>
              </w:rPr>
              <w:t xml:space="preserve"> – 5</w:t>
            </w:r>
            <w:r w:rsidRPr="000E4358">
              <w:rPr>
                <w:lang w:val="x-none" w:eastAsia="x-none"/>
              </w:rPr>
              <w:t xml:space="preserve"> punkti).</w:t>
            </w:r>
          </w:p>
          <w:p w:rsidR="00183C5D" w:rsidRPr="008B5853" w:rsidRDefault="00183C5D" w:rsidP="00183C5D">
            <w:pPr>
              <w:numPr>
                <w:ilvl w:val="0"/>
                <w:numId w:val="32"/>
              </w:numPr>
              <w:contextualSpacing/>
              <w:jc w:val="both"/>
              <w:rPr>
                <w:b/>
              </w:rPr>
            </w:pPr>
            <w:r w:rsidRPr="008B5853">
              <w:rPr>
                <w:lang w:eastAsia="en-US"/>
              </w:rPr>
              <w:t xml:space="preserve">Nepiešķirt līguma slēgšanas tiesības </w:t>
            </w:r>
            <w:r>
              <w:rPr>
                <w:lang w:eastAsia="en-US"/>
              </w:rPr>
              <w:t>SIA</w:t>
            </w:r>
            <w:r w:rsidRPr="008B5853">
              <w:rPr>
                <w:lang w:eastAsia="en-US"/>
              </w:rPr>
              <w:t xml:space="preserve"> “</w:t>
            </w:r>
            <w:r>
              <w:rPr>
                <w:lang w:eastAsia="en-US"/>
              </w:rPr>
              <w:t>Hagberg</w:t>
            </w:r>
            <w:r w:rsidRPr="008B5853">
              <w:rPr>
                <w:lang w:eastAsia="en-US"/>
              </w:rPr>
              <w:t>”, reģ. Nr.</w:t>
            </w:r>
            <w:r w:rsidRPr="008B5853">
              <w:t xml:space="preserve"> </w:t>
            </w:r>
            <w:r>
              <w:rPr>
                <w:lang w:eastAsia="en-US"/>
              </w:rPr>
              <w:t>40103233073</w:t>
            </w:r>
            <w:r w:rsidRPr="008B5853">
              <w:rPr>
                <w:lang w:eastAsia="en-US"/>
              </w:rPr>
              <w:t>, jo pretendenta piedāvājums n</w:t>
            </w:r>
            <w:r>
              <w:rPr>
                <w:lang w:eastAsia="en-US"/>
              </w:rPr>
              <w:t>av saimnieciski visizdevīgākais.</w:t>
            </w:r>
            <w:r w:rsidRPr="00F361B9">
              <w:rPr>
                <w:lang w:val="x-none" w:eastAsia="x-none"/>
              </w:rPr>
              <w:t xml:space="preserve"> </w:t>
            </w:r>
            <w:r w:rsidRPr="000E4358">
              <w:rPr>
                <w:lang w:val="x-none" w:eastAsia="x-none"/>
              </w:rPr>
              <w:t>Veicot piedāvājuma vērtēšanu, izmantojot izdevīguma punkt</w:t>
            </w:r>
            <w:r>
              <w:rPr>
                <w:lang w:val="x-none" w:eastAsia="x-none"/>
              </w:rPr>
              <w:t xml:space="preserve">u metodi, pretendents ieguva </w:t>
            </w:r>
            <w:r>
              <w:rPr>
                <w:lang w:eastAsia="x-none"/>
              </w:rPr>
              <w:t>87,04</w:t>
            </w:r>
            <w:r w:rsidRPr="000E4358">
              <w:rPr>
                <w:lang w:val="x-none" w:eastAsia="x-none"/>
              </w:rPr>
              <w:t xml:space="preserve"> punktus (iegūtie punkti</w:t>
            </w:r>
            <w:r>
              <w:rPr>
                <w:lang w:eastAsia="x-none"/>
              </w:rPr>
              <w:t xml:space="preserve">: A kritērijs </w:t>
            </w:r>
            <w:r>
              <w:rPr>
                <w:lang w:val="x-none" w:eastAsia="x-none"/>
              </w:rPr>
              <w:t>– 72,04</w:t>
            </w:r>
            <w:r w:rsidRPr="000E4358">
              <w:rPr>
                <w:lang w:val="x-none" w:eastAsia="x-none"/>
              </w:rPr>
              <w:t xml:space="preserve"> punkti, </w:t>
            </w:r>
            <w:r>
              <w:rPr>
                <w:lang w:eastAsia="x-none"/>
              </w:rPr>
              <w:t>B kritērijs</w:t>
            </w:r>
            <w:r w:rsidRPr="000E4358">
              <w:rPr>
                <w:lang w:val="x-none" w:eastAsia="x-none"/>
              </w:rPr>
              <w:t xml:space="preserve"> – 15 punkti, </w:t>
            </w:r>
            <w:r>
              <w:rPr>
                <w:lang w:eastAsia="x-none"/>
              </w:rPr>
              <w:t>D kritērijs</w:t>
            </w:r>
            <w:r>
              <w:rPr>
                <w:lang w:val="x-none" w:eastAsia="x-none"/>
              </w:rPr>
              <w:t xml:space="preserve"> – 0</w:t>
            </w:r>
            <w:r w:rsidRPr="000E4358">
              <w:rPr>
                <w:lang w:val="x-none" w:eastAsia="x-none"/>
              </w:rPr>
              <w:t xml:space="preserve"> punkti).</w:t>
            </w:r>
          </w:p>
          <w:p w:rsidR="005D1054" w:rsidRPr="00183C5D" w:rsidRDefault="00183C5D" w:rsidP="00183C5D">
            <w:pPr>
              <w:numPr>
                <w:ilvl w:val="0"/>
                <w:numId w:val="32"/>
              </w:numPr>
              <w:contextualSpacing/>
              <w:jc w:val="both"/>
              <w:rPr>
                <w:b/>
              </w:rPr>
            </w:pPr>
            <w:r w:rsidRPr="008B5853">
              <w:rPr>
                <w:lang w:eastAsia="en-US"/>
              </w:rPr>
              <w:t xml:space="preserve">Nepiešķirt līguma slēgšanas tiesības </w:t>
            </w:r>
            <w:r>
              <w:rPr>
                <w:lang w:eastAsia="en-US"/>
              </w:rPr>
              <w:t>SIA</w:t>
            </w:r>
            <w:r w:rsidRPr="008B5853">
              <w:rPr>
                <w:lang w:eastAsia="en-US"/>
              </w:rPr>
              <w:t xml:space="preserve"> “</w:t>
            </w:r>
            <w:r>
              <w:rPr>
                <w:lang w:eastAsia="en-US"/>
              </w:rPr>
              <w:t>Clean R</w:t>
            </w:r>
            <w:r w:rsidRPr="008B5853">
              <w:rPr>
                <w:lang w:eastAsia="en-US"/>
              </w:rPr>
              <w:t>”, reģ. Nr.</w:t>
            </w:r>
            <w:r w:rsidRPr="008B5853">
              <w:t xml:space="preserve"> </w:t>
            </w:r>
            <w:r>
              <w:rPr>
                <w:lang w:eastAsia="en-US"/>
              </w:rPr>
              <w:t>40003682818</w:t>
            </w:r>
            <w:r w:rsidRPr="008B5853">
              <w:rPr>
                <w:lang w:eastAsia="en-US"/>
              </w:rPr>
              <w:t>, jo pretendenta piedāvājums n</w:t>
            </w:r>
            <w:r>
              <w:rPr>
                <w:lang w:eastAsia="en-US"/>
              </w:rPr>
              <w:t>av saimnieciski visizdevīgākais.</w:t>
            </w:r>
            <w:r w:rsidRPr="00F361B9">
              <w:rPr>
                <w:lang w:val="x-none" w:eastAsia="x-none"/>
              </w:rPr>
              <w:t xml:space="preserve"> </w:t>
            </w:r>
            <w:r w:rsidRPr="000E4358">
              <w:rPr>
                <w:lang w:val="x-none" w:eastAsia="x-none"/>
              </w:rPr>
              <w:t>Veicot piedāvājuma vērtēšanu, izmantojot izdevīguma punkt</w:t>
            </w:r>
            <w:r>
              <w:rPr>
                <w:lang w:val="x-none" w:eastAsia="x-none"/>
              </w:rPr>
              <w:t xml:space="preserve">u metodi, pretendents ieguva </w:t>
            </w:r>
            <w:r>
              <w:rPr>
                <w:lang w:eastAsia="x-none"/>
              </w:rPr>
              <w:t>64,98</w:t>
            </w:r>
            <w:r w:rsidRPr="000E4358">
              <w:rPr>
                <w:lang w:val="x-none" w:eastAsia="x-none"/>
              </w:rPr>
              <w:t xml:space="preserve"> punktus (iegūtie punkti</w:t>
            </w:r>
            <w:r>
              <w:rPr>
                <w:lang w:eastAsia="x-none"/>
              </w:rPr>
              <w:t xml:space="preserve">: A kritērijs </w:t>
            </w:r>
            <w:r>
              <w:rPr>
                <w:lang w:val="x-none" w:eastAsia="x-none"/>
              </w:rPr>
              <w:t>– 44,98</w:t>
            </w:r>
            <w:r w:rsidRPr="000E4358">
              <w:rPr>
                <w:lang w:val="x-none" w:eastAsia="x-none"/>
              </w:rPr>
              <w:t xml:space="preserve"> punkti, </w:t>
            </w:r>
            <w:r>
              <w:rPr>
                <w:lang w:eastAsia="x-none"/>
              </w:rPr>
              <w:t>B kritērijs</w:t>
            </w:r>
            <w:r w:rsidRPr="000E4358">
              <w:rPr>
                <w:lang w:val="x-none" w:eastAsia="x-none"/>
              </w:rPr>
              <w:t xml:space="preserve"> – 15 punkti, </w:t>
            </w:r>
            <w:r>
              <w:rPr>
                <w:lang w:eastAsia="x-none"/>
              </w:rPr>
              <w:t>D kritērijs</w:t>
            </w:r>
            <w:r>
              <w:rPr>
                <w:lang w:val="x-none" w:eastAsia="x-none"/>
              </w:rPr>
              <w:t xml:space="preserve"> – 5</w:t>
            </w:r>
            <w:r w:rsidRPr="000E4358">
              <w:rPr>
                <w:lang w:val="x-none" w:eastAsia="x-none"/>
              </w:rPr>
              <w:t xml:space="preserve"> punkti).</w:t>
            </w:r>
          </w:p>
        </w:tc>
      </w:tr>
      <w:tr w:rsidR="006A6808" w:rsidRPr="00946527" w:rsidTr="00053BE5">
        <w:trPr>
          <w:trHeight w:val="354"/>
        </w:trPr>
        <w:tc>
          <w:tcPr>
            <w:tcW w:w="5275" w:type="dxa"/>
            <w:gridSpan w:val="2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394" w:type="dxa"/>
            <w:vAlign w:val="center"/>
          </w:tcPr>
          <w:p w:rsidR="00C359D7" w:rsidRPr="008F1171" w:rsidRDefault="00E34430" w:rsidP="000967D3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053BE5">
        <w:trPr>
          <w:trHeight w:val="354"/>
        </w:trPr>
        <w:tc>
          <w:tcPr>
            <w:tcW w:w="5275" w:type="dxa"/>
            <w:gridSpan w:val="2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394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E34430">
        <w:trPr>
          <w:trHeight w:val="866"/>
        </w:trPr>
        <w:tc>
          <w:tcPr>
            <w:tcW w:w="5275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Lēmuma pamatojums, ja iepirkuma komisija pieņēmusi lēmumu pārtraukt vai izbeigt iepirkuma procedūru:</w:t>
            </w:r>
          </w:p>
        </w:tc>
        <w:tc>
          <w:tcPr>
            <w:tcW w:w="4394" w:type="dxa"/>
          </w:tcPr>
          <w:p w:rsidR="00BF41D6" w:rsidRPr="00C65901" w:rsidRDefault="000967D3" w:rsidP="00C65901">
            <w:pPr>
              <w:spacing w:after="60"/>
              <w:jc w:val="both"/>
            </w:pPr>
            <w:r>
              <w:t xml:space="preserve">Nav </w:t>
            </w:r>
          </w:p>
        </w:tc>
      </w:tr>
      <w:tr w:rsidR="008D1408" w:rsidRPr="00946527" w:rsidTr="00E34430">
        <w:trPr>
          <w:trHeight w:val="354"/>
        </w:trPr>
        <w:tc>
          <w:tcPr>
            <w:tcW w:w="5275" w:type="dxa"/>
            <w:gridSpan w:val="2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394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E34430">
        <w:trPr>
          <w:trHeight w:val="354"/>
        </w:trPr>
        <w:tc>
          <w:tcPr>
            <w:tcW w:w="5275" w:type="dxa"/>
            <w:gridSpan w:val="2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394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E34430" w:rsidRDefault="00E01657" w:rsidP="00A1635F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283">
        <w:t>L.Baumane</w:t>
      </w: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I.Petkeviča</w:t>
      </w:r>
    </w:p>
    <w:p w:rsidR="000967D3" w:rsidRPr="00946527" w:rsidRDefault="000967D3" w:rsidP="00A1635F">
      <w:pPr>
        <w:jc w:val="both"/>
      </w:pPr>
    </w:p>
    <w:sectPr w:rsidR="000967D3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57" w:rsidRDefault="00E01657">
      <w:r>
        <w:separator/>
      </w:r>
    </w:p>
  </w:endnote>
  <w:endnote w:type="continuationSeparator" w:id="0">
    <w:p w:rsidR="00E01657" w:rsidRDefault="00E0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57" w:rsidRDefault="00E0165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657" w:rsidRDefault="00E01657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57" w:rsidRDefault="00E0165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3D2">
      <w:rPr>
        <w:rStyle w:val="PageNumber"/>
        <w:noProof/>
      </w:rPr>
      <w:t>2</w:t>
    </w:r>
    <w:r>
      <w:rPr>
        <w:rStyle w:val="PageNumber"/>
      </w:rPr>
      <w:fldChar w:fldCharType="end"/>
    </w:r>
  </w:p>
  <w:p w:rsidR="00E01657" w:rsidRDefault="00E01657" w:rsidP="00386CE7">
    <w:pPr>
      <w:pStyle w:val="Footer"/>
      <w:ind w:right="360"/>
    </w:pPr>
  </w:p>
  <w:p w:rsidR="00E01657" w:rsidRDefault="00E01657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57" w:rsidRDefault="00E01657">
      <w:r>
        <w:separator/>
      </w:r>
    </w:p>
  </w:footnote>
  <w:footnote w:type="continuationSeparator" w:id="0">
    <w:p w:rsidR="00E01657" w:rsidRDefault="00E01657">
      <w:r>
        <w:continuationSeparator/>
      </w:r>
    </w:p>
  </w:footnote>
  <w:footnote w:id="1">
    <w:p w:rsidR="00FB13B3" w:rsidRDefault="00FB13B3" w:rsidP="00FB13B3">
      <w:pPr>
        <w:pStyle w:val="FootnoteText"/>
      </w:pPr>
      <w:r>
        <w:rPr>
          <w:rStyle w:val="FootnoteReference"/>
        </w:rPr>
        <w:footnoteRef/>
      </w:r>
      <w:r>
        <w:t>“Ekomarķējums” ir Eiropas Savienības I tipa ekomarķējums</w:t>
      </w:r>
      <w:r w:rsidRPr="00CD2699">
        <w:t xml:space="preserve"> </w:t>
      </w:r>
      <w:r>
        <w:t xml:space="preserve">saskaņā ar šajā tīmekļvietnē norādīto: </w:t>
      </w:r>
      <w:hyperlink r:id="rId1" w:history="1">
        <w:r w:rsidRPr="00CD2699">
          <w:rPr>
            <w:rStyle w:val="Hyperlink"/>
          </w:rPr>
          <w:t>http://www.ecolabelindex.com/ecolabels/</w:t>
        </w:r>
      </w:hyperlink>
    </w:p>
    <w:p w:rsidR="00FB13B3" w:rsidRPr="00CD2699" w:rsidRDefault="00FB13B3" w:rsidP="00FB13B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BF6B88"/>
    <w:multiLevelType w:val="multilevel"/>
    <w:tmpl w:val="3D0C6D36"/>
    <w:lvl w:ilvl="0">
      <w:start w:val="17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2018"/>
      <w:numFmt w:val="decimal"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4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3039"/>
    <w:multiLevelType w:val="multilevel"/>
    <w:tmpl w:val="C40EC79A"/>
    <w:lvl w:ilvl="0">
      <w:start w:val="34"/>
      <w:numFmt w:val="decimal"/>
      <w:lvlText w:val="%1."/>
      <w:lvlJc w:val="left"/>
      <w:pPr>
        <w:ind w:left="944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9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694B6F"/>
    <w:multiLevelType w:val="multilevel"/>
    <w:tmpl w:val="F5EE4840"/>
    <w:lvl w:ilvl="0">
      <w:start w:val="35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4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D5137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03204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0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571A1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3"/>
  </w:num>
  <w:num w:numId="6">
    <w:abstractNumId w:val="21"/>
  </w:num>
  <w:num w:numId="7">
    <w:abstractNumId w:val="40"/>
  </w:num>
  <w:num w:numId="8">
    <w:abstractNumId w:val="7"/>
  </w:num>
  <w:num w:numId="9">
    <w:abstractNumId w:val="3"/>
  </w:num>
  <w:num w:numId="10">
    <w:abstractNumId w:val="39"/>
  </w:num>
  <w:num w:numId="11">
    <w:abstractNumId w:val="6"/>
  </w:num>
  <w:num w:numId="12">
    <w:abstractNumId w:val="16"/>
  </w:num>
  <w:num w:numId="13">
    <w:abstractNumId w:val="26"/>
  </w:num>
  <w:num w:numId="14">
    <w:abstractNumId w:val="36"/>
  </w:num>
  <w:num w:numId="15">
    <w:abstractNumId w:val="8"/>
  </w:num>
  <w:num w:numId="16">
    <w:abstractNumId w:val="37"/>
  </w:num>
  <w:num w:numId="17">
    <w:abstractNumId w:val="32"/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7"/>
  </w:num>
  <w:num w:numId="20">
    <w:abstractNumId w:val="5"/>
  </w:num>
  <w:num w:numId="21">
    <w:abstractNumId w:val="19"/>
  </w:num>
  <w:num w:numId="22">
    <w:abstractNumId w:val="30"/>
  </w:num>
  <w:num w:numId="23">
    <w:abstractNumId w:val="9"/>
  </w:num>
  <w:num w:numId="24">
    <w:abstractNumId w:val="22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4"/>
  </w:num>
  <w:num w:numId="29">
    <w:abstractNumId w:val="25"/>
  </w:num>
  <w:num w:numId="30">
    <w:abstractNumId w:val="24"/>
  </w:num>
  <w:num w:numId="31">
    <w:abstractNumId w:val="14"/>
  </w:num>
  <w:num w:numId="32">
    <w:abstractNumId w:val="10"/>
  </w:num>
  <w:num w:numId="33">
    <w:abstractNumId w:val="11"/>
  </w:num>
  <w:num w:numId="34">
    <w:abstractNumId w:val="33"/>
  </w:num>
  <w:num w:numId="35">
    <w:abstractNumId w:val="35"/>
  </w:num>
  <w:num w:numId="36">
    <w:abstractNumId w:val="4"/>
  </w:num>
  <w:num w:numId="37">
    <w:abstractNumId w:val="41"/>
  </w:num>
  <w:num w:numId="38">
    <w:abstractNumId w:val="12"/>
  </w:num>
  <w:num w:numId="39">
    <w:abstractNumId w:val="20"/>
  </w:num>
  <w:num w:numId="40">
    <w:abstractNumId w:val="29"/>
  </w:num>
  <w:num w:numId="41">
    <w:abstractNumId w:val="42"/>
  </w:num>
  <w:num w:numId="42">
    <w:abstractNumId w:val="2"/>
  </w:num>
  <w:num w:numId="43">
    <w:abstractNumId w:val="38"/>
  </w:num>
  <w:num w:numId="4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3BE5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3C5D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2D9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48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179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975C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17FAF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2097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529C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67928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0DB5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5FD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23D2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283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657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3B3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abelindex.com/ecolab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1734-D476-46C2-A313-FCC59B85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7878</Characters>
  <Application>Microsoft Office Word</Application>
  <DocSecurity>4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Agnese Kundziņa</cp:lastModifiedBy>
  <cp:revision>2</cp:revision>
  <cp:lastPrinted>2019-02-04T07:59:00Z</cp:lastPrinted>
  <dcterms:created xsi:type="dcterms:W3CDTF">2019-02-07T07:02:00Z</dcterms:created>
  <dcterms:modified xsi:type="dcterms:W3CDTF">2019-02-07T07:02:00Z</dcterms:modified>
</cp:coreProperties>
</file>