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946527" w:rsidRDefault="00CE6700" w:rsidP="00EC281F">
      <w:pPr>
        <w:jc w:val="center"/>
        <w:outlineLvl w:val="0"/>
        <w:rPr>
          <w:b/>
        </w:rPr>
      </w:pPr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726352">
        <w:rPr>
          <w:b/>
          <w:bCs/>
        </w:rPr>
        <w:t>Lidlauka sakaru, navigācijas un meteoroloģisko iekārtu tehniskās apkopes nodrošināšana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DE7C77">
        <w:rPr>
          <w:bCs/>
        </w:rPr>
        <w:t>de</w:t>
      </w:r>
      <w:r w:rsidR="00E65DFE">
        <w:rPr>
          <w:bCs/>
        </w:rPr>
        <w:t>ntifikācijas Nr. VAMOIC 2018/2</w:t>
      </w:r>
      <w:r w:rsidR="005C6268">
        <w:rPr>
          <w:bCs/>
        </w:rPr>
        <w:t>2</w:t>
      </w:r>
      <w:r w:rsidR="00E65DFE">
        <w:rPr>
          <w:bCs/>
        </w:rPr>
        <w:t>4</w:t>
      </w:r>
      <w:r w:rsidRPr="00B24D14">
        <w:rPr>
          <w:bCs/>
        </w:rPr>
        <w:t>)</w:t>
      </w:r>
    </w:p>
    <w:p w:rsidR="003C3956" w:rsidRPr="00946527" w:rsidRDefault="00EB0ABC" w:rsidP="00875FDC">
      <w:pPr>
        <w:jc w:val="center"/>
        <w:outlineLvl w:val="0"/>
        <w:rPr>
          <w:b/>
        </w:rPr>
      </w:pPr>
      <w:r w:rsidRPr="00946527">
        <w:rPr>
          <w:b/>
        </w:rPr>
        <w:t>ZIŅOJUMS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425"/>
        <w:gridCol w:w="2127"/>
        <w:gridCol w:w="567"/>
        <w:gridCol w:w="1417"/>
        <w:gridCol w:w="1134"/>
        <w:gridCol w:w="1843"/>
      </w:tblGrid>
      <w:tr w:rsidR="00EB0ABC" w:rsidRPr="00946527" w:rsidTr="00EE0CF7">
        <w:tc>
          <w:tcPr>
            <w:tcW w:w="2156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7513" w:type="dxa"/>
            <w:gridSpan w:val="6"/>
          </w:tcPr>
          <w:p w:rsidR="00EB0ABC" w:rsidRPr="00946527" w:rsidRDefault="000902AC" w:rsidP="00DE7C77">
            <w:pPr>
              <w:jc w:val="right"/>
            </w:pPr>
            <w:r w:rsidRPr="00C05133">
              <w:t>201</w:t>
            </w:r>
            <w:r w:rsidR="00DE7C77">
              <w:t>8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proofErr w:type="gramStart"/>
            <w:r w:rsidR="00726352">
              <w:t>17</w:t>
            </w:r>
            <w:r w:rsidR="00EB5731">
              <w:t>.</w:t>
            </w:r>
            <w:r w:rsidR="00726352">
              <w:t>dec</w:t>
            </w:r>
            <w:r w:rsidR="005178E1">
              <w:t>em</w:t>
            </w:r>
            <w:r w:rsidR="00DE7C77">
              <w:t>brī</w:t>
            </w:r>
            <w:proofErr w:type="gramEnd"/>
          </w:p>
        </w:tc>
      </w:tr>
      <w:tr w:rsidR="00EB0ABC" w:rsidRPr="00946527" w:rsidTr="00287CE1">
        <w:tc>
          <w:tcPr>
            <w:tcW w:w="4708" w:type="dxa"/>
            <w:gridSpan w:val="3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4961" w:type="dxa"/>
            <w:gridSpan w:val="4"/>
          </w:tcPr>
          <w:p w:rsidR="00EB0ABC" w:rsidRPr="00946527" w:rsidRDefault="003F0DA7" w:rsidP="003846E1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DE7C77">
              <w:t>8</w:t>
            </w:r>
            <w:r w:rsidR="00E951F7" w:rsidRPr="00946527">
              <w:t>/</w:t>
            </w:r>
            <w:r w:rsidR="00726352">
              <w:t>224</w:t>
            </w:r>
          </w:p>
        </w:tc>
      </w:tr>
      <w:tr w:rsidR="009A5B3D" w:rsidRPr="00946527" w:rsidTr="00736DDF">
        <w:tc>
          <w:tcPr>
            <w:tcW w:w="6692" w:type="dxa"/>
            <w:gridSpan w:val="5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2977" w:type="dxa"/>
            <w:gridSpan w:val="2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736DDF">
        <w:tc>
          <w:tcPr>
            <w:tcW w:w="6692" w:type="dxa"/>
            <w:gridSpan w:val="5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2977" w:type="dxa"/>
            <w:gridSpan w:val="2"/>
          </w:tcPr>
          <w:p w:rsidR="00EB0ABC" w:rsidRDefault="00C05133" w:rsidP="00C05133">
            <w:r>
              <w:t xml:space="preserve">IUB – </w:t>
            </w:r>
            <w:r w:rsidR="00726352">
              <w:t>02.12</w:t>
            </w:r>
            <w:r w:rsidR="00DE7C77">
              <w:t>.2018</w:t>
            </w:r>
            <w:r>
              <w:t>.</w:t>
            </w:r>
          </w:p>
          <w:p w:rsidR="00453001" w:rsidRDefault="00B833B0" w:rsidP="00C05133">
            <w:r>
              <w:t>ESOV</w:t>
            </w:r>
            <w:r w:rsidR="00453001">
              <w:t xml:space="preserve"> – </w:t>
            </w:r>
            <w:r w:rsidR="00726352">
              <w:t>04.12</w:t>
            </w:r>
            <w:r w:rsidR="00DE7C77">
              <w:t>.2018</w:t>
            </w:r>
            <w:r w:rsidR="008818FB">
              <w:t>.</w:t>
            </w:r>
          </w:p>
          <w:p w:rsidR="00C05133" w:rsidRPr="00C05133" w:rsidRDefault="00C05133" w:rsidP="002B5EB9"/>
        </w:tc>
      </w:tr>
      <w:tr w:rsidR="00B24D14" w:rsidRPr="00946527" w:rsidTr="00EE0CF7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7513" w:type="dxa"/>
            <w:gridSpan w:val="6"/>
          </w:tcPr>
          <w:p w:rsidR="00B24D14" w:rsidRPr="00204E34" w:rsidRDefault="00726352" w:rsidP="00726352">
            <w:pPr>
              <w:ind w:right="34"/>
              <w:jc w:val="both"/>
            </w:pPr>
            <w:r w:rsidRPr="00D726A9">
              <w:t xml:space="preserve">Nacionālo bruņoto spēku </w:t>
            </w:r>
            <w:r>
              <w:t>Nodrošinājuma pavēlniecības 2.reģionālais nodrošinājuma centrs (NBS NP 2.RNC)</w:t>
            </w:r>
            <w:r w:rsidRPr="00D726A9">
              <w:t xml:space="preserve">, kas atrodas </w:t>
            </w:r>
            <w:r>
              <w:t>“NBS Aviācijas bāzē”, Rembates pagastā</w:t>
            </w:r>
            <w:r w:rsidRPr="00D726A9">
              <w:t xml:space="preserve">, </w:t>
            </w:r>
            <w:r>
              <w:t>Ķeguma novadā, LV-5016</w:t>
            </w:r>
            <w:r w:rsidRPr="00D726A9">
              <w:t>.</w:t>
            </w:r>
          </w:p>
        </w:tc>
      </w:tr>
      <w:tr w:rsidR="00B24D14" w:rsidRPr="00946527" w:rsidTr="00EE0CF7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7513" w:type="dxa"/>
            <w:gridSpan w:val="6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6"/>
          </w:tcPr>
          <w:p w:rsidR="00EA0913" w:rsidRPr="00DE7C77" w:rsidRDefault="00EA0913" w:rsidP="000E4ABE">
            <w:pPr>
              <w:jc w:val="both"/>
            </w:pPr>
            <w:r w:rsidRPr="00DE7C77">
              <w:t xml:space="preserve">Komisijas, kas izveidota ar Valsts aizsardzības militāro </w:t>
            </w:r>
            <w:r w:rsidR="00DE7C77" w:rsidRPr="00DE7C77">
              <w:t>objektu un iepirkumu centra 2018</w:t>
            </w:r>
            <w:r w:rsidRPr="00DE7C77">
              <w:t xml:space="preserve">. gada </w:t>
            </w:r>
            <w:proofErr w:type="gramStart"/>
            <w:r w:rsidR="00726352">
              <w:t>8.novembr</w:t>
            </w:r>
            <w:r w:rsidR="00DE7C77" w:rsidRPr="00DE7C77">
              <w:t>a</w:t>
            </w:r>
            <w:proofErr w:type="gramEnd"/>
            <w:r w:rsidRPr="00DE7C77">
              <w:t xml:space="preserve"> rīkojumu </w:t>
            </w:r>
            <w:proofErr w:type="spellStart"/>
            <w:r w:rsidRPr="00DE7C77">
              <w:t>Nr.</w:t>
            </w:r>
            <w:r w:rsidR="00726352">
              <w:t>RPDJ</w:t>
            </w:r>
            <w:proofErr w:type="spellEnd"/>
            <w:r w:rsidR="00726352">
              <w:t>/2018-1466</w:t>
            </w:r>
            <w:r w:rsidRPr="00DE7C77">
              <w:t>, sastāvs:</w:t>
            </w:r>
          </w:p>
          <w:p w:rsidR="00726352" w:rsidRPr="00726352" w:rsidRDefault="00726352" w:rsidP="00726352">
            <w:pPr>
              <w:pStyle w:val="Subtitle"/>
              <w:numPr>
                <w:ilvl w:val="1"/>
                <w:numId w:val="2"/>
              </w:numPr>
              <w:ind w:left="601" w:hanging="425"/>
              <w:jc w:val="both"/>
              <w:rPr>
                <w:szCs w:val="24"/>
              </w:rPr>
            </w:pPr>
            <w:r w:rsidRPr="00726352">
              <w:rPr>
                <w:szCs w:val="24"/>
              </w:rPr>
              <w:t>Komisijas priekšsēdētāja – Marina Imbrasa-Kuļiņiča, Centra Materiāltehnisko līdzekļu departamenta Centralizēto iepirkumu vadības nodaļas pārvaldes vecākā referente.</w:t>
            </w:r>
          </w:p>
          <w:p w:rsidR="00726352" w:rsidRPr="00726352" w:rsidRDefault="00726352" w:rsidP="00726352">
            <w:pPr>
              <w:pStyle w:val="Subtitle"/>
              <w:numPr>
                <w:ilvl w:val="1"/>
                <w:numId w:val="2"/>
              </w:numPr>
              <w:ind w:left="601" w:hanging="425"/>
              <w:jc w:val="both"/>
              <w:rPr>
                <w:szCs w:val="24"/>
              </w:rPr>
            </w:pPr>
            <w:r w:rsidRPr="00726352">
              <w:rPr>
                <w:szCs w:val="24"/>
              </w:rPr>
              <w:t>Komisijas priekšsēdētājas vietniece – Inese Ozola, Centra Materiāltehnisko līdzekļu departamenta Centralizēto iepirkumu vadības nodaļas pārvaldes vecākā referente.</w:t>
            </w:r>
          </w:p>
          <w:p w:rsidR="00726352" w:rsidRPr="00726352" w:rsidRDefault="00726352" w:rsidP="00726352">
            <w:pPr>
              <w:pStyle w:val="Subtitle"/>
              <w:numPr>
                <w:ilvl w:val="1"/>
                <w:numId w:val="2"/>
              </w:numPr>
              <w:ind w:left="601" w:hanging="425"/>
              <w:jc w:val="both"/>
              <w:rPr>
                <w:szCs w:val="24"/>
              </w:rPr>
            </w:pPr>
            <w:r w:rsidRPr="00726352">
              <w:rPr>
                <w:szCs w:val="24"/>
              </w:rPr>
              <w:t xml:space="preserve"> Komisijas juriste – Ilva Prātiņa, Centra Juridiskā un iepirkumu nodrošinājuma departamenta Centralizēto iepirkumu juridiskā nodrošinājuma nodaļas juriskonsulte.</w:t>
            </w:r>
          </w:p>
          <w:p w:rsidR="00726352" w:rsidRPr="00726352" w:rsidRDefault="00726352" w:rsidP="00726352">
            <w:pPr>
              <w:pStyle w:val="Subtitle"/>
              <w:numPr>
                <w:ilvl w:val="1"/>
                <w:numId w:val="2"/>
              </w:numPr>
              <w:ind w:left="601" w:hanging="425"/>
              <w:jc w:val="both"/>
              <w:rPr>
                <w:szCs w:val="24"/>
              </w:rPr>
            </w:pPr>
            <w:r w:rsidRPr="00726352">
              <w:rPr>
                <w:szCs w:val="24"/>
              </w:rPr>
              <w:t>Rita Čumakeviča, Centra Juridiskā un iepirkumu nodrošinājuma departamenta Centralizēto iepirkumu juridiskā nodrošinājuma nodaļas vadītāja.</w:t>
            </w:r>
          </w:p>
          <w:p w:rsidR="00726352" w:rsidRPr="00726352" w:rsidRDefault="00726352" w:rsidP="00726352">
            <w:pPr>
              <w:pStyle w:val="Subtitle"/>
              <w:numPr>
                <w:ilvl w:val="1"/>
                <w:numId w:val="2"/>
              </w:numPr>
              <w:ind w:left="601" w:hanging="425"/>
              <w:jc w:val="both"/>
              <w:rPr>
                <w:szCs w:val="24"/>
              </w:rPr>
            </w:pPr>
            <w:r w:rsidRPr="00726352">
              <w:rPr>
                <w:szCs w:val="24"/>
              </w:rPr>
              <w:t xml:space="preserve">Iepirkuma atbildīgā amatpersona – </w:t>
            </w:r>
            <w:proofErr w:type="spellStart"/>
            <w:r w:rsidRPr="00726352">
              <w:rPr>
                <w:szCs w:val="24"/>
              </w:rPr>
              <w:t>srž</w:t>
            </w:r>
            <w:proofErr w:type="spellEnd"/>
            <w:r w:rsidRPr="00726352">
              <w:rPr>
                <w:szCs w:val="24"/>
              </w:rPr>
              <w:t>. Mārtiņš Bite, NBS Gaisa spēku SLNP Lidojumu nodrošinājuma daļas Sakaru un aeronavigācijas nodrošinājuma nodaļas vecākais tehniķis.</w:t>
            </w:r>
          </w:p>
          <w:p w:rsidR="00726352" w:rsidRDefault="00726352" w:rsidP="00726352">
            <w:pPr>
              <w:pStyle w:val="Subtitle"/>
              <w:numPr>
                <w:ilvl w:val="1"/>
                <w:numId w:val="2"/>
              </w:numPr>
              <w:ind w:left="601" w:hanging="425"/>
              <w:jc w:val="both"/>
              <w:rPr>
                <w:szCs w:val="24"/>
              </w:rPr>
            </w:pPr>
            <w:r w:rsidRPr="00726352">
              <w:rPr>
                <w:szCs w:val="24"/>
              </w:rPr>
              <w:t>Komisijas sekretāre – Ilona Petkeviča, Centra Materiāltehnisko līdzekļu departamenta Centralizēto iepirkumu vadības nodaļas pārvaldes vecākā referente.</w:t>
            </w:r>
          </w:p>
          <w:p w:rsidR="00726352" w:rsidRPr="00726352" w:rsidRDefault="001440CF" w:rsidP="00726352">
            <w:pPr>
              <w:pStyle w:val="Subtitle"/>
              <w:ind w:left="176"/>
              <w:jc w:val="both"/>
              <w:rPr>
                <w:szCs w:val="24"/>
              </w:rPr>
            </w:pPr>
            <w:r>
              <w:rPr>
                <w:szCs w:val="24"/>
              </w:rPr>
              <w:t>Sakar</w:t>
            </w:r>
            <w:r w:rsidR="00726352">
              <w:rPr>
                <w:szCs w:val="24"/>
              </w:rPr>
              <w:t xml:space="preserve">ā ar </w:t>
            </w:r>
            <w:proofErr w:type="spellStart"/>
            <w:r>
              <w:rPr>
                <w:szCs w:val="24"/>
              </w:rPr>
              <w:t>srž</w:t>
            </w:r>
            <w:proofErr w:type="spellEnd"/>
            <w:r>
              <w:rPr>
                <w:szCs w:val="24"/>
              </w:rPr>
              <w:t xml:space="preserve">. </w:t>
            </w:r>
            <w:r w:rsidR="00726352">
              <w:rPr>
                <w:szCs w:val="24"/>
              </w:rPr>
              <w:t xml:space="preserve">Mārtiņa Bites prombūtni komandējumā, iegādes atbildīgās amatpersonas pienākumus no 13.12.2018. līdz 14.12.2018. pilda virsseržants Juris </w:t>
            </w:r>
            <w:proofErr w:type="spellStart"/>
            <w:r w:rsidR="00726352">
              <w:rPr>
                <w:szCs w:val="24"/>
              </w:rPr>
              <w:t>Butlers</w:t>
            </w:r>
            <w:proofErr w:type="spellEnd"/>
            <w:r w:rsidR="00726352">
              <w:rPr>
                <w:szCs w:val="24"/>
              </w:rPr>
              <w:t>, Gaisa spēku Sakaru un lidojumu nodrošinājuma posma Lidojumu nodrošinājuma daļas Sakaru un aeronavigācijas nodrošinājuma nodaļas galvenais tehniķis.</w:t>
            </w:r>
          </w:p>
          <w:p w:rsidR="00616729" w:rsidRPr="003A0057" w:rsidRDefault="008818FB" w:rsidP="00726352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</w:t>
            </w:r>
            <w:r w:rsidR="004D7EEB">
              <w:rPr>
                <w:rFonts w:eastAsia="Calibri"/>
                <w:lang w:eastAsia="en-US"/>
              </w:rPr>
              <w:t>ehniskās</w:t>
            </w:r>
            <w:r w:rsidR="00C05133" w:rsidRPr="00DE7C77">
              <w:rPr>
                <w:rFonts w:eastAsia="Calibri"/>
                <w:lang w:eastAsia="en-US"/>
              </w:rPr>
              <w:t xml:space="preserve"> speci</w:t>
            </w:r>
            <w:r w:rsidR="004D7EEB">
              <w:rPr>
                <w:rFonts w:eastAsia="Calibri"/>
                <w:lang w:eastAsia="en-US"/>
              </w:rPr>
              <w:t>fikācijas</w:t>
            </w:r>
            <w:r w:rsidR="002B5EB9" w:rsidRPr="00DE7C77">
              <w:rPr>
                <w:rFonts w:eastAsia="Calibri"/>
                <w:lang w:eastAsia="en-US"/>
              </w:rPr>
              <w:t xml:space="preserve"> sagatavotāj</w:t>
            </w:r>
            <w:r w:rsidR="008323F0">
              <w:rPr>
                <w:rFonts w:eastAsia="Calibri"/>
                <w:lang w:eastAsia="en-US"/>
              </w:rPr>
              <w:t>i</w:t>
            </w:r>
            <w:r w:rsidR="000E4ABE" w:rsidRPr="00DE7C77">
              <w:rPr>
                <w:rFonts w:eastAsia="Calibri"/>
                <w:lang w:eastAsia="en-US"/>
              </w:rPr>
              <w:t>:</w:t>
            </w:r>
            <w:r w:rsidR="00B833B0" w:rsidRPr="00DE7C77">
              <w:rPr>
                <w:rFonts w:eastAsia="Calibri"/>
                <w:lang w:eastAsia="en-US"/>
              </w:rPr>
              <w:t xml:space="preserve"> </w:t>
            </w:r>
            <w:r w:rsidR="00726352">
              <w:rPr>
                <w:rFonts w:eastAsia="Calibri"/>
                <w:lang w:eastAsia="en-US"/>
              </w:rPr>
              <w:t xml:space="preserve">A.Ločmelis, M.Bite, </w:t>
            </w:r>
            <w:proofErr w:type="spellStart"/>
            <w:r w:rsidR="00726352">
              <w:rPr>
                <w:rFonts w:eastAsia="Calibri"/>
                <w:lang w:eastAsia="en-US"/>
              </w:rPr>
              <w:t>J.Cimens</w:t>
            </w:r>
            <w:proofErr w:type="spellEnd"/>
            <w:r w:rsidR="0072635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726352">
              <w:rPr>
                <w:rFonts w:eastAsia="Calibri"/>
                <w:lang w:eastAsia="en-US"/>
              </w:rPr>
              <w:t>K.Skudrovs</w:t>
            </w:r>
            <w:proofErr w:type="spellEnd"/>
            <w:r w:rsidR="001440CF">
              <w:rPr>
                <w:rFonts w:eastAsia="Calibri"/>
                <w:lang w:eastAsia="en-US"/>
              </w:rPr>
              <w:t>.</w:t>
            </w:r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C40FC8">
                <w:rPr>
                  <w:b/>
                  <w:i/>
                </w:rPr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7513" w:type="dxa"/>
            <w:gridSpan w:val="6"/>
          </w:tcPr>
          <w:p w:rsidR="00F1531A" w:rsidRPr="00AD666A" w:rsidRDefault="001440CF" w:rsidP="00726352">
            <w:pPr>
              <w:shd w:val="clear" w:color="auto" w:fill="FFFFFF" w:themeFill="background1"/>
              <w:spacing w:line="252" w:lineRule="auto"/>
              <w:jc w:val="both"/>
              <w:rPr>
                <w:color w:val="7030A0"/>
              </w:rPr>
            </w:pPr>
            <w:r>
              <w:t>I</w:t>
            </w:r>
            <w:r w:rsidR="00726352" w:rsidRPr="0058408A">
              <w:t xml:space="preserve">epirkuma priekšmets ir </w:t>
            </w:r>
            <w:r w:rsidR="00726352">
              <w:t>l</w:t>
            </w:r>
            <w:r w:rsidR="00726352" w:rsidRPr="00BC7DE6">
              <w:t xml:space="preserve">idlauka sakaru, navigācijas un </w:t>
            </w:r>
            <w:r w:rsidR="00726352">
              <w:t>meteoroloģisko iekārtu tehnisko apkopju</w:t>
            </w:r>
            <w:r w:rsidR="00726352" w:rsidRPr="00BC7DE6">
              <w:t xml:space="preserve"> nodrošināšana </w:t>
            </w:r>
            <w:r w:rsidR="00726352" w:rsidRPr="00CF7FFC">
              <w:t>saskaņā ar tehnisko specifikāciju</w:t>
            </w:r>
            <w:r>
              <w:t>.</w:t>
            </w:r>
            <w:bookmarkStart w:id="0" w:name="_GoBack"/>
            <w:bookmarkEnd w:id="0"/>
          </w:p>
        </w:tc>
      </w:tr>
      <w:tr w:rsidR="00D54EEE" w:rsidRPr="00946527" w:rsidTr="00287CE1">
        <w:trPr>
          <w:trHeight w:val="2684"/>
        </w:trPr>
        <w:tc>
          <w:tcPr>
            <w:tcW w:w="2156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lastRenderedPageBreak/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7513" w:type="dxa"/>
            <w:gridSpan w:val="6"/>
          </w:tcPr>
          <w:p w:rsidR="002547CB" w:rsidRPr="00287CE1" w:rsidRDefault="00726352" w:rsidP="00287CE1">
            <w:pPr>
              <w:shd w:val="clear" w:color="auto" w:fill="FFFFFF" w:themeFill="background1"/>
              <w:spacing w:line="252" w:lineRule="auto"/>
              <w:jc w:val="both"/>
            </w:pPr>
            <w:r>
              <w:t xml:space="preserve">Atklāta konkursa rezultātā tiks noslēgta vispārīgā vienošanās ar visiem pretendentiem, kuri iesniegs </w:t>
            </w:r>
            <w:proofErr w:type="gramStart"/>
            <w:r>
              <w:t>nolikuma prasībām un tehniskajai specifikācijai atbilstošu saimnieciski visizdevīgāko piedāvājumu</w:t>
            </w:r>
            <w:proofErr w:type="gramEnd"/>
            <w:r>
              <w:t>, ņemot vērā viszemāko kopējo cenu (finanšu-tehniskajā piedāvājumā 1.tabulas, 2.tabulas, 3.tabulas, 4.tabulas summa).</w:t>
            </w:r>
          </w:p>
        </w:tc>
      </w:tr>
      <w:tr w:rsidR="00D54EEE" w:rsidRPr="00946527" w:rsidTr="00EE0CF7">
        <w:trPr>
          <w:trHeight w:val="600"/>
        </w:trPr>
        <w:tc>
          <w:tcPr>
            <w:tcW w:w="2156" w:type="dxa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7513" w:type="dxa"/>
            <w:gridSpan w:val="6"/>
          </w:tcPr>
          <w:p w:rsidR="00960008" w:rsidRDefault="004B3948" w:rsidP="00850DB5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726352">
              <w:rPr>
                <w:b/>
              </w:rPr>
              <w:t>2019</w:t>
            </w:r>
            <w:r w:rsidR="00171E94" w:rsidRPr="00844315">
              <w:rPr>
                <w:b/>
              </w:rPr>
              <w:t xml:space="preserve">. gada </w:t>
            </w:r>
            <w:proofErr w:type="gramStart"/>
            <w:r w:rsidR="004D7EEB">
              <w:rPr>
                <w:b/>
              </w:rPr>
              <w:t>3</w:t>
            </w:r>
            <w:r w:rsidR="00D73534">
              <w:rPr>
                <w:b/>
              </w:rPr>
              <w:t>.</w:t>
            </w:r>
            <w:r w:rsidR="00726352">
              <w:rPr>
                <w:b/>
              </w:rPr>
              <w:t>janvārim</w:t>
            </w:r>
            <w:proofErr w:type="gramEnd"/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</w:p>
          <w:p w:rsidR="00850DB5" w:rsidRPr="00946527" w:rsidRDefault="00850DB5" w:rsidP="002B332B">
            <w:pPr>
              <w:spacing w:before="60" w:after="60"/>
              <w:jc w:val="both"/>
            </w:pPr>
          </w:p>
        </w:tc>
      </w:tr>
      <w:tr w:rsidR="00960008" w:rsidRPr="00946527" w:rsidTr="00736DDF">
        <w:trPr>
          <w:trHeight w:val="645"/>
        </w:trPr>
        <w:tc>
          <w:tcPr>
            <w:tcW w:w="5275" w:type="dxa"/>
            <w:gridSpan w:val="4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4394" w:type="dxa"/>
            <w:gridSpan w:val="3"/>
          </w:tcPr>
          <w:p w:rsidR="006C767B" w:rsidRPr="00726352" w:rsidRDefault="00726352" w:rsidP="00AD666A">
            <w:pPr>
              <w:spacing w:before="60" w:after="60"/>
              <w:jc w:val="both"/>
            </w:pPr>
            <w:r w:rsidRPr="00726352">
              <w:t>Nav</w:t>
            </w:r>
          </w:p>
        </w:tc>
      </w:tr>
      <w:tr w:rsidR="0057425E" w:rsidRPr="00946527" w:rsidTr="00736DDF">
        <w:trPr>
          <w:trHeight w:val="525"/>
        </w:trPr>
        <w:tc>
          <w:tcPr>
            <w:tcW w:w="5275" w:type="dxa"/>
            <w:gridSpan w:val="4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4394" w:type="dxa"/>
            <w:gridSpan w:val="3"/>
          </w:tcPr>
          <w:p w:rsidR="00AD666A" w:rsidRPr="00AF0AE0" w:rsidRDefault="00726352" w:rsidP="00AD666A">
            <w:r>
              <w:rPr>
                <w:bCs/>
                <w:szCs w:val="26"/>
              </w:rPr>
              <w:t>Nav</w:t>
            </w:r>
          </w:p>
          <w:p w:rsidR="002B332B" w:rsidRPr="00325861" w:rsidRDefault="002B332B" w:rsidP="00287CE1">
            <w:pPr>
              <w:rPr>
                <w:sz w:val="22"/>
                <w:szCs w:val="22"/>
              </w:rPr>
            </w:pPr>
          </w:p>
        </w:tc>
      </w:tr>
      <w:tr w:rsidR="00A1635F" w:rsidRPr="00946527" w:rsidTr="00287CE1">
        <w:trPr>
          <w:trHeight w:val="1977"/>
        </w:trPr>
        <w:tc>
          <w:tcPr>
            <w:tcW w:w="5275" w:type="dxa"/>
            <w:gridSpan w:val="4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>, piedāvājuma izvērtēšanas 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4394" w:type="dxa"/>
            <w:gridSpan w:val="3"/>
          </w:tcPr>
          <w:p w:rsidR="00E01657" w:rsidRPr="00287CE1" w:rsidRDefault="00287CE1" w:rsidP="00287CE1">
            <w:pPr>
              <w:jc w:val="both"/>
            </w:pPr>
            <w:r>
              <w:t>Nav</w:t>
            </w:r>
          </w:p>
        </w:tc>
      </w:tr>
      <w:tr w:rsidR="006A6808" w:rsidRPr="00946527" w:rsidTr="00736DDF">
        <w:trPr>
          <w:trHeight w:val="354"/>
        </w:trPr>
        <w:tc>
          <w:tcPr>
            <w:tcW w:w="7826" w:type="dxa"/>
            <w:gridSpan w:val="6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1843" w:type="dxa"/>
            <w:vAlign w:val="center"/>
          </w:tcPr>
          <w:p w:rsidR="00053BE5" w:rsidRDefault="009636A3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  <w:p w:rsidR="000967D3" w:rsidRPr="008F1171" w:rsidRDefault="000967D3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</w:p>
        </w:tc>
      </w:tr>
      <w:tr w:rsidR="005D1054" w:rsidRPr="00946527" w:rsidTr="00736DDF">
        <w:trPr>
          <w:trHeight w:val="354"/>
        </w:trPr>
        <w:tc>
          <w:tcPr>
            <w:tcW w:w="7826" w:type="dxa"/>
            <w:gridSpan w:val="6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1843" w:type="dxa"/>
          </w:tcPr>
          <w:p w:rsidR="00E01657" w:rsidRDefault="009636A3" w:rsidP="00E01657">
            <w:pPr>
              <w:jc w:val="both"/>
            </w:pPr>
            <w:r>
              <w:t>Nav</w:t>
            </w:r>
          </w:p>
          <w:p w:rsidR="005D1054" w:rsidRPr="00E34430" w:rsidRDefault="005D1054" w:rsidP="00E34430">
            <w:pPr>
              <w:spacing w:before="120" w:after="120"/>
              <w:contextualSpacing/>
              <w:jc w:val="both"/>
              <w:rPr>
                <w:b/>
              </w:rPr>
            </w:pPr>
          </w:p>
        </w:tc>
      </w:tr>
      <w:tr w:rsidR="006A6808" w:rsidRPr="00946527" w:rsidTr="00736DDF">
        <w:trPr>
          <w:trHeight w:val="354"/>
        </w:trPr>
        <w:tc>
          <w:tcPr>
            <w:tcW w:w="7826" w:type="dxa"/>
            <w:gridSpan w:val="6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1843" w:type="dxa"/>
            <w:vAlign w:val="center"/>
          </w:tcPr>
          <w:p w:rsidR="00C359D7" w:rsidRPr="008F1171" w:rsidRDefault="00287CE1" w:rsidP="004F357C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BF41D6" w:rsidRPr="00946527" w:rsidTr="00736DDF">
        <w:trPr>
          <w:trHeight w:val="354"/>
        </w:trPr>
        <w:tc>
          <w:tcPr>
            <w:tcW w:w="7826" w:type="dxa"/>
            <w:gridSpan w:val="6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1843" w:type="dxa"/>
            <w:vAlign w:val="center"/>
          </w:tcPr>
          <w:p w:rsidR="00BF41D6" w:rsidRPr="008F1171" w:rsidRDefault="00BF41D6" w:rsidP="00E34430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287CE1">
        <w:trPr>
          <w:trHeight w:val="866"/>
        </w:trPr>
        <w:tc>
          <w:tcPr>
            <w:tcW w:w="2581" w:type="dxa"/>
            <w:gridSpan w:val="2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7088" w:type="dxa"/>
            <w:gridSpan w:val="5"/>
          </w:tcPr>
          <w:p w:rsidR="00BF41D6" w:rsidRPr="00726352" w:rsidRDefault="00726352" w:rsidP="00726352">
            <w:pPr>
              <w:jc w:val="both"/>
            </w:pPr>
            <w:r w:rsidRPr="00726352">
              <w:t xml:space="preserve">Pamatojoties uz Publisko iepirkumu likuma </w:t>
            </w:r>
            <w:proofErr w:type="gramStart"/>
            <w:r w:rsidRPr="00726352">
              <w:t>8.panta</w:t>
            </w:r>
            <w:proofErr w:type="gramEnd"/>
            <w:r w:rsidRPr="00726352">
              <w:t xml:space="preserve"> trešās daļas 5.punktu un Ministru kabineta 28.02.2017. noteikumu Nr.107 ”Iepirkuma procedūru un metu konkursu norises kārtība” 230.punktu, </w:t>
            </w:r>
            <w:r w:rsidRPr="00726352">
              <w:rPr>
                <w:b/>
              </w:rPr>
              <w:t>pārtraukt</w:t>
            </w:r>
            <w:r w:rsidRPr="00726352">
              <w:t xml:space="preserve"> atklātu konkursu, jo nepieciešams veikt būtiskus grozījumus atklāta konkursa nolikumā.</w:t>
            </w:r>
          </w:p>
        </w:tc>
      </w:tr>
      <w:tr w:rsidR="008D1408" w:rsidRPr="00946527" w:rsidTr="00736DDF">
        <w:trPr>
          <w:trHeight w:val="354"/>
        </w:trPr>
        <w:tc>
          <w:tcPr>
            <w:tcW w:w="7826" w:type="dxa"/>
            <w:gridSpan w:val="6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1843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736DDF">
        <w:trPr>
          <w:trHeight w:val="354"/>
        </w:trPr>
        <w:tc>
          <w:tcPr>
            <w:tcW w:w="7826" w:type="dxa"/>
            <w:gridSpan w:val="6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1843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E01657" w:rsidRDefault="00E01657" w:rsidP="00A1635F">
      <w:pPr>
        <w:jc w:val="both"/>
      </w:pPr>
    </w:p>
    <w:p w:rsidR="00287CE1" w:rsidRDefault="00287CE1" w:rsidP="00A1635F">
      <w:pPr>
        <w:jc w:val="both"/>
      </w:pPr>
    </w:p>
    <w:p w:rsidR="00287CE1" w:rsidRDefault="00287CE1" w:rsidP="00A1635F">
      <w:pPr>
        <w:jc w:val="both"/>
      </w:pPr>
    </w:p>
    <w:p w:rsidR="00E34430" w:rsidRDefault="00E01657" w:rsidP="00A1635F">
      <w:pPr>
        <w:jc w:val="both"/>
      </w:pPr>
      <w:r>
        <w:t>Komisijas priekšsēdētāja</w:t>
      </w:r>
      <w:r w:rsidR="00726352">
        <w:tab/>
      </w:r>
      <w:r w:rsidR="00726352">
        <w:tab/>
      </w:r>
      <w:r>
        <w:tab/>
      </w:r>
      <w:r w:rsidR="00287CE1">
        <w:tab/>
      </w:r>
      <w:r w:rsidR="00287CE1">
        <w:tab/>
      </w:r>
      <w:r>
        <w:tab/>
      </w:r>
      <w:r w:rsidR="00726352">
        <w:t>M.Imbrasa-</w:t>
      </w:r>
      <w:proofErr w:type="spellStart"/>
      <w:r w:rsidR="00726352">
        <w:t>Kuļiņiča</w:t>
      </w:r>
      <w:proofErr w:type="spellEnd"/>
    </w:p>
    <w:p w:rsidR="00E01657" w:rsidRDefault="00E01657" w:rsidP="00A1635F">
      <w:pPr>
        <w:jc w:val="both"/>
      </w:pPr>
    </w:p>
    <w:p w:rsidR="00E01657" w:rsidRDefault="00E01657" w:rsidP="00A1635F">
      <w:pPr>
        <w:jc w:val="both"/>
      </w:pPr>
    </w:p>
    <w:p w:rsidR="000967D3" w:rsidRPr="00946527" w:rsidRDefault="00E01657" w:rsidP="00A1635F">
      <w:pPr>
        <w:jc w:val="both"/>
      </w:pPr>
      <w:r>
        <w:t>Ziņojumu sagatavoja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I.Petkeviča</w:t>
      </w:r>
    </w:p>
    <w:sectPr w:rsidR="000967D3" w:rsidRPr="00946527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058" w:rsidRDefault="00A17058">
      <w:r>
        <w:separator/>
      </w:r>
    </w:p>
  </w:endnote>
  <w:endnote w:type="continuationSeparator" w:id="0">
    <w:p w:rsidR="00A17058" w:rsidRDefault="00A1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58" w:rsidRDefault="00A17058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058" w:rsidRDefault="00A17058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58" w:rsidRDefault="00A17058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40CF">
      <w:rPr>
        <w:rStyle w:val="PageNumber"/>
        <w:noProof/>
      </w:rPr>
      <w:t>2</w:t>
    </w:r>
    <w:r>
      <w:rPr>
        <w:rStyle w:val="PageNumber"/>
      </w:rPr>
      <w:fldChar w:fldCharType="end"/>
    </w:r>
  </w:p>
  <w:p w:rsidR="00A17058" w:rsidRDefault="00A17058" w:rsidP="00386CE7">
    <w:pPr>
      <w:pStyle w:val="Footer"/>
      <w:ind w:right="360"/>
    </w:pPr>
  </w:p>
  <w:p w:rsidR="00A17058" w:rsidRDefault="00A17058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058" w:rsidRDefault="00A17058">
      <w:r>
        <w:separator/>
      </w:r>
    </w:p>
  </w:footnote>
  <w:footnote w:type="continuationSeparator" w:id="0">
    <w:p w:rsidR="00A17058" w:rsidRDefault="00A1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D44773"/>
    <w:multiLevelType w:val="hybridMultilevel"/>
    <w:tmpl w:val="4F7CC93E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7AB4"/>
    <w:multiLevelType w:val="multilevel"/>
    <w:tmpl w:val="936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4" w15:restartNumberingAfterBreak="0">
    <w:nsid w:val="43810016"/>
    <w:multiLevelType w:val="hybridMultilevel"/>
    <w:tmpl w:val="9F74C02E"/>
    <w:lvl w:ilvl="0" w:tplc="57FCD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E0EF8"/>
    <w:multiLevelType w:val="hybridMultilevel"/>
    <w:tmpl w:val="44FE57E2"/>
    <w:lvl w:ilvl="0" w:tplc="3D5A1EC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3BE5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82D15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3CFC"/>
    <w:rsid w:val="0010017D"/>
    <w:rsid w:val="00100817"/>
    <w:rsid w:val="00100C06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40CF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2D9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27F41"/>
    <w:rsid w:val="00231848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47CB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87CE1"/>
    <w:rsid w:val="00290205"/>
    <w:rsid w:val="002955DC"/>
    <w:rsid w:val="002973E7"/>
    <w:rsid w:val="002A0E32"/>
    <w:rsid w:val="002A2087"/>
    <w:rsid w:val="002A7BFC"/>
    <w:rsid w:val="002B0FA5"/>
    <w:rsid w:val="002B1590"/>
    <w:rsid w:val="002B332B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5861"/>
    <w:rsid w:val="00326DFE"/>
    <w:rsid w:val="003278F1"/>
    <w:rsid w:val="00331A4C"/>
    <w:rsid w:val="00332AF0"/>
    <w:rsid w:val="00335C85"/>
    <w:rsid w:val="0034179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2F6E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17FAF"/>
    <w:rsid w:val="004220B6"/>
    <w:rsid w:val="0042223A"/>
    <w:rsid w:val="00427F3D"/>
    <w:rsid w:val="00427FA5"/>
    <w:rsid w:val="004300C6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100E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D7EEB"/>
    <w:rsid w:val="004E0B36"/>
    <w:rsid w:val="004E20A9"/>
    <w:rsid w:val="004E5FF3"/>
    <w:rsid w:val="004F0A9C"/>
    <w:rsid w:val="004F260D"/>
    <w:rsid w:val="004F316B"/>
    <w:rsid w:val="004F357C"/>
    <w:rsid w:val="004F3BDF"/>
    <w:rsid w:val="004F70E2"/>
    <w:rsid w:val="004F7ECA"/>
    <w:rsid w:val="00507DC7"/>
    <w:rsid w:val="00513594"/>
    <w:rsid w:val="00514949"/>
    <w:rsid w:val="00515206"/>
    <w:rsid w:val="005153B2"/>
    <w:rsid w:val="005178E1"/>
    <w:rsid w:val="00520992"/>
    <w:rsid w:val="00522225"/>
    <w:rsid w:val="00522A5A"/>
    <w:rsid w:val="00523E2D"/>
    <w:rsid w:val="0052425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C6268"/>
    <w:rsid w:val="005C75C9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CCC"/>
    <w:rsid w:val="005F0DE3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37364"/>
    <w:rsid w:val="00641342"/>
    <w:rsid w:val="00642E6D"/>
    <w:rsid w:val="006469E1"/>
    <w:rsid w:val="00652098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2097"/>
    <w:rsid w:val="006C767B"/>
    <w:rsid w:val="006D00DC"/>
    <w:rsid w:val="006E2273"/>
    <w:rsid w:val="006E355E"/>
    <w:rsid w:val="006E4635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6352"/>
    <w:rsid w:val="00727897"/>
    <w:rsid w:val="00730358"/>
    <w:rsid w:val="00730E02"/>
    <w:rsid w:val="00731895"/>
    <w:rsid w:val="0073598E"/>
    <w:rsid w:val="00735AE0"/>
    <w:rsid w:val="00736DBE"/>
    <w:rsid w:val="00736DDF"/>
    <w:rsid w:val="00742FBD"/>
    <w:rsid w:val="0074365B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23F0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0DB5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5FDC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36A3"/>
    <w:rsid w:val="00964398"/>
    <w:rsid w:val="009648B9"/>
    <w:rsid w:val="009651B4"/>
    <w:rsid w:val="0096576E"/>
    <w:rsid w:val="00967A05"/>
    <w:rsid w:val="00970BF9"/>
    <w:rsid w:val="009775E9"/>
    <w:rsid w:val="00983DBC"/>
    <w:rsid w:val="00986F0F"/>
    <w:rsid w:val="00987ED2"/>
    <w:rsid w:val="00987FE9"/>
    <w:rsid w:val="009901A9"/>
    <w:rsid w:val="009909C6"/>
    <w:rsid w:val="009910C6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C7470"/>
    <w:rsid w:val="009D3BA4"/>
    <w:rsid w:val="009D4CFA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058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66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6D59"/>
    <w:rsid w:val="00CB7AFD"/>
    <w:rsid w:val="00CC12DC"/>
    <w:rsid w:val="00CC1B33"/>
    <w:rsid w:val="00CC324B"/>
    <w:rsid w:val="00CC3744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288"/>
    <w:rsid w:val="00D71578"/>
    <w:rsid w:val="00D73534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1657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5DFE"/>
    <w:rsid w:val="00E675A7"/>
    <w:rsid w:val="00E67842"/>
    <w:rsid w:val="00E7193A"/>
    <w:rsid w:val="00E7339F"/>
    <w:rsid w:val="00E737B2"/>
    <w:rsid w:val="00E74B74"/>
    <w:rsid w:val="00E74FAE"/>
    <w:rsid w:val="00E823DD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2EB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ED0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  <w:style w:type="character" w:customStyle="1" w:styleId="dlxnowrap1">
    <w:name w:val="dlxnowrap1"/>
    <w:uiPriority w:val="99"/>
    <w:rsid w:val="002547CB"/>
  </w:style>
  <w:style w:type="character" w:customStyle="1" w:styleId="FooterChar12">
    <w:name w:val="Footer Char12"/>
    <w:aliases w:val="Char Char11"/>
    <w:uiPriority w:val="99"/>
    <w:semiHidden/>
    <w:rsid w:val="00AD666A"/>
    <w:rPr>
      <w:rFonts w:ascii="Times New Roman" w:hAnsi="Times New Roman"/>
      <w:sz w:val="24"/>
      <w:lang w:val="ru-RU" w:eastAsia="lv-LV"/>
    </w:rPr>
  </w:style>
  <w:style w:type="character" w:customStyle="1" w:styleId="BalloonTextChar">
    <w:name w:val="Balloon Text Char"/>
    <w:link w:val="BalloonText"/>
    <w:uiPriority w:val="99"/>
    <w:semiHidden/>
    <w:locked/>
    <w:rsid w:val="00AD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C0FB-E026-436A-B1F2-DDB5CE9D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3021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Ilona Petkevica</cp:lastModifiedBy>
  <cp:revision>4</cp:revision>
  <cp:lastPrinted>2018-09-10T10:18:00Z</cp:lastPrinted>
  <dcterms:created xsi:type="dcterms:W3CDTF">2018-12-17T09:43:00Z</dcterms:created>
  <dcterms:modified xsi:type="dcterms:W3CDTF">2018-12-17T13:01:00Z</dcterms:modified>
</cp:coreProperties>
</file>