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796"/>
      </w:tblGrid>
      <w:tr w:rsidR="00640CE5" w:rsidRPr="00030A7C" w:rsidTr="00DA03A5">
        <w:trPr>
          <w:trHeight w:val="348"/>
          <w:jc w:val="center"/>
        </w:trPr>
        <w:tc>
          <w:tcPr>
            <w:tcW w:w="1838" w:type="dxa"/>
            <w:vAlign w:val="center"/>
          </w:tcPr>
          <w:p w:rsidR="00640CE5" w:rsidRPr="00D119AC" w:rsidRDefault="00D368B6"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Pasūtītāja nosaukums un adrese, iepirkuma identifikācijas numurs, iepirkuma procedūras veids, kā arī līguma priekšmets:</w:t>
            </w:r>
          </w:p>
        </w:tc>
        <w:tc>
          <w:tcPr>
            <w:tcW w:w="7796" w:type="dxa"/>
            <w:vAlign w:val="center"/>
          </w:tcPr>
          <w:p w:rsidR="00A36E10" w:rsidRPr="00D119AC" w:rsidRDefault="00D368B6" w:rsidP="00224E14">
            <w:pPr>
              <w:widowControl w:val="0"/>
              <w:spacing w:line="276" w:lineRule="auto"/>
              <w:ind w:right="317"/>
              <w:jc w:val="both"/>
              <w:rPr>
                <w:sz w:val="22"/>
                <w:szCs w:val="22"/>
                <w:lang w:val="lv-LV"/>
              </w:rPr>
            </w:pPr>
            <w:r w:rsidRPr="00D119AC">
              <w:rPr>
                <w:sz w:val="22"/>
                <w:szCs w:val="22"/>
                <w:lang w:val="lv-LV"/>
              </w:rPr>
              <w:t xml:space="preserve">Aizsardzības ministrijas Nacionālo bruņoto spēku Nodrošinājuma pavēlniecības štābs, </w:t>
            </w:r>
            <w:r w:rsidR="004B717F" w:rsidRPr="00D119AC">
              <w:rPr>
                <w:sz w:val="22"/>
                <w:szCs w:val="22"/>
                <w:lang w:val="lv-LV"/>
              </w:rPr>
              <w:t>Vienības gatve 56, Rīga, LV-1004,</w:t>
            </w:r>
            <w:r w:rsidR="00584D0E" w:rsidRPr="00D119AC">
              <w:rPr>
                <w:sz w:val="22"/>
                <w:szCs w:val="22"/>
                <w:lang w:val="lv-LV"/>
              </w:rPr>
              <w:t xml:space="preserve"> </w:t>
            </w:r>
            <w:r w:rsidR="005E68E2" w:rsidRPr="00D119AC">
              <w:rPr>
                <w:sz w:val="22"/>
                <w:szCs w:val="22"/>
                <w:lang w:val="lv-LV"/>
              </w:rPr>
              <w:t xml:space="preserve">iepirkuma </w:t>
            </w:r>
            <w:r w:rsidR="00030A7C" w:rsidRPr="00D119AC">
              <w:rPr>
                <w:sz w:val="22"/>
                <w:szCs w:val="22"/>
                <w:lang w:val="lv-LV"/>
              </w:rPr>
              <w:t>“Trauku mazgāšanas, skalošanas un saimniecības līdzekļu iegāde”, identifikācijas numurs AM NBS NP 2018/</w:t>
            </w:r>
            <w:r w:rsidR="00030A7C" w:rsidRPr="00D119AC">
              <w:rPr>
                <w:noProof/>
                <w:sz w:val="22"/>
                <w:szCs w:val="22"/>
                <w:lang w:val="lv-LV"/>
              </w:rPr>
              <w:t>012</w:t>
            </w:r>
          </w:p>
        </w:tc>
      </w:tr>
      <w:tr w:rsidR="00D368B6" w:rsidRPr="00030A7C" w:rsidTr="00DA03A5">
        <w:trPr>
          <w:trHeight w:val="348"/>
          <w:jc w:val="center"/>
        </w:trPr>
        <w:tc>
          <w:tcPr>
            <w:tcW w:w="1838" w:type="dxa"/>
            <w:vAlign w:val="center"/>
          </w:tcPr>
          <w:p w:rsidR="00D368B6" w:rsidRPr="00D119AC" w:rsidRDefault="00D368B6"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Datums, kad paziņojums par</w:t>
            </w:r>
            <w:r w:rsidR="00FA10EE" w:rsidRPr="00D119AC">
              <w:rPr>
                <w:rFonts w:ascii="Times New Roman" w:hAnsi="Times New Roman"/>
                <w:bCs/>
                <w:sz w:val="22"/>
                <w:szCs w:val="22"/>
              </w:rPr>
              <w:t xml:space="preserve"> plānoto</w:t>
            </w:r>
            <w:r w:rsidRPr="00D119AC">
              <w:rPr>
                <w:rFonts w:ascii="Times New Roman" w:hAnsi="Times New Roman"/>
                <w:bCs/>
                <w:sz w:val="22"/>
                <w:szCs w:val="22"/>
              </w:rPr>
              <w:t xml:space="preserve"> līgumu publicēts </w:t>
            </w:r>
            <w:r w:rsidR="00FA10EE" w:rsidRPr="00D119AC">
              <w:rPr>
                <w:rFonts w:ascii="Times New Roman" w:hAnsi="Times New Roman"/>
                <w:bCs/>
                <w:sz w:val="22"/>
                <w:szCs w:val="22"/>
              </w:rPr>
              <w:t>Iepirkumu uzraudzības biroja</w:t>
            </w:r>
            <w:r w:rsidRPr="00D119AC">
              <w:rPr>
                <w:rFonts w:ascii="Times New Roman" w:hAnsi="Times New Roman"/>
                <w:bCs/>
                <w:sz w:val="22"/>
                <w:szCs w:val="22"/>
              </w:rPr>
              <w:t xml:space="preserve"> </w:t>
            </w:r>
            <w:r w:rsidR="00FA10EE" w:rsidRPr="00D119AC">
              <w:rPr>
                <w:rFonts w:ascii="Times New Roman" w:hAnsi="Times New Roman"/>
                <w:bCs/>
                <w:sz w:val="22"/>
                <w:szCs w:val="22"/>
              </w:rPr>
              <w:t>mājaslapā</w:t>
            </w:r>
            <w:r w:rsidRPr="00D119AC">
              <w:rPr>
                <w:rFonts w:ascii="Times New Roman" w:hAnsi="Times New Roman"/>
                <w:bCs/>
                <w:sz w:val="22"/>
                <w:szCs w:val="22"/>
              </w:rPr>
              <w:t xml:space="preserve"> internetā;</w:t>
            </w:r>
          </w:p>
        </w:tc>
        <w:tc>
          <w:tcPr>
            <w:tcW w:w="7796" w:type="dxa"/>
            <w:vAlign w:val="center"/>
          </w:tcPr>
          <w:p w:rsidR="00D368B6" w:rsidRPr="00D119AC" w:rsidRDefault="00E51D6A" w:rsidP="0043595D">
            <w:pPr>
              <w:pStyle w:val="Subtitle"/>
              <w:jc w:val="left"/>
              <w:rPr>
                <w:b w:val="0"/>
                <w:sz w:val="22"/>
                <w:szCs w:val="22"/>
              </w:rPr>
            </w:pPr>
            <w:r w:rsidRPr="00D119AC">
              <w:rPr>
                <w:b w:val="0"/>
                <w:sz w:val="22"/>
                <w:szCs w:val="22"/>
              </w:rPr>
              <w:t>201</w:t>
            </w:r>
            <w:r w:rsidR="005E68E2" w:rsidRPr="00D119AC">
              <w:rPr>
                <w:b w:val="0"/>
                <w:sz w:val="22"/>
                <w:szCs w:val="22"/>
              </w:rPr>
              <w:t>8</w:t>
            </w:r>
            <w:r w:rsidRPr="00D119AC">
              <w:rPr>
                <w:b w:val="0"/>
                <w:sz w:val="22"/>
                <w:szCs w:val="22"/>
              </w:rPr>
              <w:t xml:space="preserve">.gada </w:t>
            </w:r>
            <w:r w:rsidR="0043595D" w:rsidRPr="00D119AC">
              <w:rPr>
                <w:b w:val="0"/>
                <w:sz w:val="22"/>
                <w:szCs w:val="22"/>
              </w:rPr>
              <w:t>15</w:t>
            </w:r>
            <w:r w:rsidRPr="00D119AC">
              <w:rPr>
                <w:b w:val="0"/>
                <w:sz w:val="22"/>
                <w:szCs w:val="22"/>
              </w:rPr>
              <w:t>.</w:t>
            </w:r>
            <w:r w:rsidR="00C228D7" w:rsidRPr="00D119AC">
              <w:rPr>
                <w:b w:val="0"/>
                <w:sz w:val="22"/>
                <w:szCs w:val="22"/>
              </w:rPr>
              <w:t>maijā</w:t>
            </w:r>
          </w:p>
        </w:tc>
      </w:tr>
      <w:tr w:rsidR="00416791" w:rsidRPr="00030A7C" w:rsidTr="00DA03A5">
        <w:trPr>
          <w:trHeight w:val="588"/>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Komisijas sastāvs:</w:t>
            </w:r>
          </w:p>
        </w:tc>
        <w:tc>
          <w:tcPr>
            <w:tcW w:w="7796" w:type="dxa"/>
            <w:vAlign w:val="center"/>
          </w:tcPr>
          <w:p w:rsidR="003A4A8B" w:rsidRPr="00D119AC" w:rsidRDefault="00F53C2E" w:rsidP="00030A7C">
            <w:pPr>
              <w:pStyle w:val="Header"/>
              <w:rPr>
                <w:rFonts w:ascii="Times New Roman" w:hAnsi="Times New Roman"/>
                <w:sz w:val="22"/>
                <w:szCs w:val="22"/>
              </w:rPr>
            </w:pPr>
            <w:r w:rsidRPr="00D119AC">
              <w:rPr>
                <w:rFonts w:ascii="Times New Roman" w:hAnsi="Times New Roman"/>
                <w:sz w:val="22"/>
                <w:szCs w:val="22"/>
              </w:rPr>
              <w:t xml:space="preserve">Pamatojoties uz </w:t>
            </w:r>
            <w:r w:rsidR="00584D0E" w:rsidRPr="00D119AC">
              <w:rPr>
                <w:rFonts w:ascii="Times New Roman" w:hAnsi="Times New Roman"/>
                <w:sz w:val="22"/>
                <w:szCs w:val="22"/>
              </w:rPr>
              <w:t xml:space="preserve">NP komandiera </w:t>
            </w:r>
            <w:r w:rsidR="00E51D6A" w:rsidRPr="00D119AC">
              <w:rPr>
                <w:rFonts w:ascii="Times New Roman" w:hAnsi="Times New Roman"/>
                <w:sz w:val="22"/>
                <w:szCs w:val="22"/>
              </w:rPr>
              <w:t>201</w:t>
            </w:r>
            <w:r w:rsidR="004723DA" w:rsidRPr="00D119AC">
              <w:rPr>
                <w:rFonts w:ascii="Times New Roman" w:hAnsi="Times New Roman"/>
                <w:sz w:val="22"/>
                <w:szCs w:val="22"/>
              </w:rPr>
              <w:t>8</w:t>
            </w:r>
            <w:r w:rsidR="00584D0E" w:rsidRPr="00D119AC">
              <w:rPr>
                <w:rFonts w:ascii="Times New Roman" w:hAnsi="Times New Roman"/>
                <w:sz w:val="22"/>
                <w:szCs w:val="22"/>
              </w:rPr>
              <w:t xml:space="preserve">. gada </w:t>
            </w:r>
            <w:r w:rsidR="00030A7C" w:rsidRPr="00D119AC">
              <w:rPr>
                <w:rFonts w:ascii="Times New Roman" w:hAnsi="Times New Roman"/>
                <w:sz w:val="22"/>
                <w:szCs w:val="22"/>
              </w:rPr>
              <w:t>9</w:t>
            </w:r>
            <w:r w:rsidR="00584D0E" w:rsidRPr="00D119AC">
              <w:rPr>
                <w:rFonts w:ascii="Times New Roman" w:hAnsi="Times New Roman"/>
                <w:sz w:val="22"/>
                <w:szCs w:val="22"/>
              </w:rPr>
              <w:t>.</w:t>
            </w:r>
            <w:r w:rsidR="008E05C3" w:rsidRPr="00D119AC">
              <w:rPr>
                <w:rFonts w:ascii="Times New Roman" w:hAnsi="Times New Roman"/>
                <w:sz w:val="22"/>
                <w:szCs w:val="22"/>
              </w:rPr>
              <w:t>ma</w:t>
            </w:r>
            <w:r w:rsidR="00C228D7" w:rsidRPr="00D119AC">
              <w:rPr>
                <w:rFonts w:ascii="Times New Roman" w:hAnsi="Times New Roman"/>
                <w:sz w:val="22"/>
                <w:szCs w:val="22"/>
              </w:rPr>
              <w:t>ija</w:t>
            </w:r>
            <w:r w:rsidR="008E05C3" w:rsidRPr="00D119AC">
              <w:rPr>
                <w:rFonts w:ascii="Times New Roman" w:hAnsi="Times New Roman"/>
                <w:sz w:val="22"/>
                <w:szCs w:val="22"/>
              </w:rPr>
              <w:t xml:space="preserve"> pavēli Nr.</w:t>
            </w:r>
            <w:r w:rsidR="00030A7C" w:rsidRPr="00D119AC">
              <w:rPr>
                <w:rFonts w:ascii="Times New Roman" w:hAnsi="Times New Roman"/>
                <w:sz w:val="22"/>
                <w:szCs w:val="22"/>
              </w:rPr>
              <w:t>255</w:t>
            </w:r>
          </w:p>
        </w:tc>
      </w:tr>
      <w:tr w:rsidR="00416791" w:rsidRPr="00030A7C" w:rsidTr="00DA03A5">
        <w:trPr>
          <w:trHeight w:val="348"/>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Piedāvājumu un pieteikumu iesniegšanas termiņš:</w:t>
            </w:r>
          </w:p>
        </w:tc>
        <w:tc>
          <w:tcPr>
            <w:tcW w:w="7796" w:type="dxa"/>
            <w:vAlign w:val="center"/>
          </w:tcPr>
          <w:p w:rsidR="00416791" w:rsidRPr="00D119AC" w:rsidRDefault="00C228D7" w:rsidP="00030A7C">
            <w:pPr>
              <w:pStyle w:val="Subtitle"/>
              <w:jc w:val="left"/>
              <w:rPr>
                <w:b w:val="0"/>
                <w:sz w:val="22"/>
                <w:szCs w:val="22"/>
              </w:rPr>
            </w:pPr>
            <w:r w:rsidRPr="00D119AC">
              <w:rPr>
                <w:b w:val="0"/>
                <w:sz w:val="22"/>
                <w:szCs w:val="22"/>
              </w:rPr>
              <w:t>28</w:t>
            </w:r>
            <w:r w:rsidR="007E1F7B" w:rsidRPr="00D119AC">
              <w:rPr>
                <w:b w:val="0"/>
                <w:sz w:val="22"/>
                <w:szCs w:val="22"/>
              </w:rPr>
              <w:t>.0</w:t>
            </w:r>
            <w:r w:rsidRPr="00D119AC">
              <w:rPr>
                <w:b w:val="0"/>
                <w:sz w:val="22"/>
                <w:szCs w:val="22"/>
              </w:rPr>
              <w:t>5</w:t>
            </w:r>
            <w:r w:rsidR="007E1F7B" w:rsidRPr="00D119AC">
              <w:rPr>
                <w:b w:val="0"/>
                <w:sz w:val="22"/>
                <w:szCs w:val="22"/>
              </w:rPr>
              <w:t>.2018.</w:t>
            </w:r>
            <w:r w:rsidR="00E51D6A" w:rsidRPr="00D119AC">
              <w:rPr>
                <w:b w:val="0"/>
                <w:sz w:val="22"/>
                <w:szCs w:val="22"/>
              </w:rPr>
              <w:t xml:space="preserve">, plkst. </w:t>
            </w:r>
            <w:r w:rsidR="009E0736" w:rsidRPr="00D119AC">
              <w:rPr>
                <w:b w:val="0"/>
                <w:sz w:val="22"/>
                <w:szCs w:val="22"/>
              </w:rPr>
              <w:t>1</w:t>
            </w:r>
            <w:r w:rsidR="00030A7C" w:rsidRPr="00D119AC">
              <w:rPr>
                <w:b w:val="0"/>
                <w:sz w:val="22"/>
                <w:szCs w:val="22"/>
              </w:rPr>
              <w:t>3</w:t>
            </w:r>
            <w:r w:rsidR="00E51D6A" w:rsidRPr="00D119AC">
              <w:rPr>
                <w:b w:val="0"/>
                <w:sz w:val="22"/>
                <w:szCs w:val="22"/>
              </w:rPr>
              <w:t>:00</w:t>
            </w:r>
          </w:p>
        </w:tc>
      </w:tr>
      <w:tr w:rsidR="00416791" w:rsidRPr="00030A7C" w:rsidTr="00DA03A5">
        <w:trPr>
          <w:trHeight w:val="348"/>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To pretendentu nosaukumi, kuri iesnieguši piedāvājumus, kā arī piedāvātās cenas:</w:t>
            </w:r>
          </w:p>
        </w:tc>
        <w:tc>
          <w:tcPr>
            <w:tcW w:w="7796" w:type="dxa"/>
          </w:tcPr>
          <w:tbl>
            <w:tblPr>
              <w:tblpPr w:leftFromText="180" w:rightFromText="180" w:vertAnchor="text" w:horzAnchor="margin" w:tblpXSpec="center" w:tblpY="50"/>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417"/>
              <w:gridCol w:w="2268"/>
              <w:gridCol w:w="2410"/>
            </w:tblGrid>
            <w:tr w:rsidR="00DA03A5" w:rsidRPr="00D119AC" w:rsidTr="00DA03A5">
              <w:trPr>
                <w:trHeight w:val="599"/>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Nr.</w:t>
                  </w:r>
                </w:p>
                <w:p w:rsidR="00DA03A5" w:rsidRPr="00D119AC" w:rsidRDefault="00DA03A5" w:rsidP="00DA03A5">
                  <w:pPr>
                    <w:jc w:val="center"/>
                    <w:rPr>
                      <w:sz w:val="22"/>
                      <w:szCs w:val="22"/>
                      <w:lang w:val="lv-LV"/>
                    </w:rPr>
                  </w:pPr>
                  <w:r w:rsidRPr="00D119AC">
                    <w:rPr>
                      <w:sz w:val="22"/>
                      <w:szCs w:val="22"/>
                      <w:lang w:val="lv-LV"/>
                    </w:rPr>
                    <w:t>p.k.</w:t>
                  </w:r>
                </w:p>
              </w:tc>
              <w:tc>
                <w:tcPr>
                  <w:tcW w:w="993" w:type="dxa"/>
                  <w:vAlign w:val="center"/>
                </w:tcPr>
                <w:p w:rsidR="00DA03A5" w:rsidRPr="00D119AC" w:rsidRDefault="00DA03A5" w:rsidP="00DA03A5">
                  <w:pPr>
                    <w:jc w:val="center"/>
                    <w:rPr>
                      <w:sz w:val="22"/>
                      <w:szCs w:val="22"/>
                      <w:lang w:val="lv-LV"/>
                    </w:rPr>
                  </w:pPr>
                  <w:proofErr w:type="spellStart"/>
                  <w:r w:rsidRPr="00D119AC">
                    <w:rPr>
                      <w:sz w:val="22"/>
                      <w:szCs w:val="22"/>
                      <w:lang w:val="lv-LV"/>
                    </w:rPr>
                    <w:t>Reģ</w:t>
                  </w:r>
                  <w:proofErr w:type="spellEnd"/>
                  <w:r w:rsidRPr="00D119AC">
                    <w:rPr>
                      <w:sz w:val="22"/>
                      <w:szCs w:val="22"/>
                      <w:lang w:val="lv-LV"/>
                    </w:rPr>
                    <w:t>.</w:t>
                  </w:r>
                </w:p>
                <w:p w:rsidR="00DA03A5" w:rsidRPr="00D119AC" w:rsidRDefault="00DA03A5" w:rsidP="00DA03A5">
                  <w:pPr>
                    <w:jc w:val="center"/>
                    <w:rPr>
                      <w:sz w:val="22"/>
                      <w:szCs w:val="22"/>
                      <w:lang w:val="lv-LV"/>
                    </w:rPr>
                  </w:pPr>
                  <w:r w:rsidRPr="00D119AC">
                    <w:rPr>
                      <w:sz w:val="22"/>
                      <w:szCs w:val="22"/>
                      <w:lang w:val="lv-LV"/>
                    </w:rPr>
                    <w:t>Nr.</w:t>
                  </w:r>
                </w:p>
              </w:tc>
              <w:tc>
                <w:tcPr>
                  <w:tcW w:w="1417"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Iesniegšanas datums un laiks</w:t>
                  </w:r>
                </w:p>
              </w:tc>
              <w:tc>
                <w:tcPr>
                  <w:tcW w:w="2268" w:type="dxa"/>
                  <w:shd w:val="clear" w:color="auto" w:fill="auto"/>
                  <w:vAlign w:val="center"/>
                </w:tcPr>
                <w:p w:rsidR="00DA03A5" w:rsidRPr="00D119AC" w:rsidRDefault="00DA03A5" w:rsidP="00DA03A5">
                  <w:pPr>
                    <w:jc w:val="center"/>
                    <w:rPr>
                      <w:sz w:val="22"/>
                      <w:szCs w:val="22"/>
                      <w:lang w:val="lv-LV"/>
                    </w:rPr>
                  </w:pPr>
                </w:p>
                <w:p w:rsidR="00DA03A5" w:rsidRPr="00D119AC" w:rsidRDefault="00DA03A5" w:rsidP="00DA03A5">
                  <w:pPr>
                    <w:jc w:val="center"/>
                    <w:rPr>
                      <w:sz w:val="22"/>
                      <w:szCs w:val="22"/>
                      <w:lang w:val="lv-LV"/>
                    </w:rPr>
                  </w:pPr>
                  <w:r w:rsidRPr="00D119AC">
                    <w:rPr>
                      <w:sz w:val="22"/>
                      <w:szCs w:val="22"/>
                      <w:lang w:val="lv-LV"/>
                    </w:rPr>
                    <w:t xml:space="preserve">Pretendenta nosaukums, </w:t>
                  </w:r>
                  <w:proofErr w:type="spellStart"/>
                  <w:r w:rsidRPr="00D119AC">
                    <w:rPr>
                      <w:sz w:val="22"/>
                      <w:szCs w:val="22"/>
                      <w:lang w:val="lv-LV"/>
                    </w:rPr>
                    <w:t>Reģ</w:t>
                  </w:r>
                  <w:proofErr w:type="spellEnd"/>
                  <w:r w:rsidRPr="00D119AC">
                    <w:rPr>
                      <w:sz w:val="22"/>
                      <w:szCs w:val="22"/>
                      <w:lang w:val="lv-LV"/>
                    </w:rPr>
                    <w:t>. Nr.</w:t>
                  </w:r>
                </w:p>
              </w:tc>
              <w:tc>
                <w:tcPr>
                  <w:tcW w:w="2410" w:type="dxa"/>
                  <w:shd w:val="clear" w:color="auto" w:fill="auto"/>
                  <w:vAlign w:val="center"/>
                </w:tcPr>
                <w:p w:rsidR="00DA03A5" w:rsidRPr="00D119AC" w:rsidRDefault="00DA03A5" w:rsidP="00DA03A5">
                  <w:pPr>
                    <w:jc w:val="center"/>
                    <w:rPr>
                      <w:bCs/>
                      <w:color w:val="000000"/>
                      <w:sz w:val="22"/>
                      <w:szCs w:val="22"/>
                      <w:lang w:val="lv-LV"/>
                    </w:rPr>
                  </w:pPr>
                  <w:r w:rsidRPr="00D119AC">
                    <w:rPr>
                      <w:bCs/>
                      <w:color w:val="000000"/>
                      <w:sz w:val="22"/>
                      <w:szCs w:val="22"/>
                      <w:lang w:val="lv-LV"/>
                    </w:rPr>
                    <w:t>Piedāvājuma cenu kopsumma par 1 vienību bez PVN</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380</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24.05.2018. plkst. 9:27</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w:t>
                  </w:r>
                  <w:proofErr w:type="spellStart"/>
                  <w:r w:rsidRPr="00D119AC">
                    <w:rPr>
                      <w:sz w:val="22"/>
                      <w:szCs w:val="22"/>
                      <w:lang w:val="lv-LV"/>
                    </w:rPr>
                    <w:t>Sentios</w:t>
                  </w:r>
                  <w:proofErr w:type="spellEnd"/>
                  <w:r w:rsidRPr="00D119AC">
                    <w:rPr>
                      <w:sz w:val="22"/>
                      <w:szCs w:val="22"/>
                      <w:lang w:val="lv-LV"/>
                    </w:rPr>
                    <w:t>”</w:t>
                  </w:r>
                </w:p>
                <w:p w:rsidR="00DA03A5" w:rsidRPr="00D119AC" w:rsidRDefault="00DA03A5" w:rsidP="00DA03A5">
                  <w:pPr>
                    <w:jc w:val="center"/>
                    <w:rPr>
                      <w:sz w:val="22"/>
                      <w:szCs w:val="22"/>
                      <w:lang w:val="lv-LV"/>
                    </w:rPr>
                  </w:pPr>
                  <w:proofErr w:type="spellStart"/>
                  <w:r w:rsidRPr="00D119AC">
                    <w:rPr>
                      <w:sz w:val="22"/>
                      <w:szCs w:val="22"/>
                      <w:lang w:val="lv-LV"/>
                    </w:rPr>
                    <w:t>Reģ</w:t>
                  </w:r>
                  <w:proofErr w:type="spellEnd"/>
                  <w:r w:rsidRPr="00D119AC">
                    <w:rPr>
                      <w:sz w:val="22"/>
                      <w:szCs w:val="22"/>
                      <w:lang w:val="lv-LV"/>
                    </w:rPr>
                    <w:t>. nr. 40103868193</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272.00</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810.00</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385</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25.05.2018. plkst. 11:00</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w:t>
                  </w:r>
                  <w:proofErr w:type="spellStart"/>
                  <w:r w:rsidRPr="00D119AC">
                    <w:rPr>
                      <w:sz w:val="22"/>
                      <w:szCs w:val="22"/>
                      <w:lang w:val="lv-LV"/>
                    </w:rPr>
                    <w:t>Mayeri</w:t>
                  </w:r>
                  <w:proofErr w:type="spellEnd"/>
                  <w:r w:rsidRPr="00D119AC">
                    <w:rPr>
                      <w:sz w:val="22"/>
                      <w:szCs w:val="22"/>
                      <w:lang w:val="lv-LV"/>
                    </w:rPr>
                    <w:t xml:space="preserve"> Professional”, Reģ.nr.44103033190</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58.77</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nepiedāvā</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lastRenderedPageBreak/>
                    <w:t>3.</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388</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28.05.2018. plkst. 9:30</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w:t>
                  </w:r>
                  <w:proofErr w:type="spellStart"/>
                  <w:r w:rsidRPr="00D119AC">
                    <w:rPr>
                      <w:sz w:val="22"/>
                      <w:szCs w:val="22"/>
                      <w:lang w:val="lv-LV"/>
                    </w:rPr>
                    <w:t>Selding</w:t>
                  </w:r>
                  <w:proofErr w:type="spellEnd"/>
                  <w:r w:rsidRPr="00D119AC">
                    <w:rPr>
                      <w:sz w:val="22"/>
                      <w:szCs w:val="22"/>
                      <w:lang w:val="lv-LV"/>
                    </w:rPr>
                    <w:t>”, Reģ.nr.40003684081</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49.48</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15.25</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4.</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390</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28.05.2018. plkst. 9:47</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w:t>
                  </w:r>
                  <w:proofErr w:type="spellStart"/>
                  <w:r w:rsidRPr="00D119AC">
                    <w:rPr>
                      <w:sz w:val="22"/>
                      <w:szCs w:val="22"/>
                      <w:lang w:val="lv-LV"/>
                    </w:rPr>
                    <w:t>Prāna</w:t>
                  </w:r>
                  <w:proofErr w:type="spellEnd"/>
                  <w:r w:rsidRPr="00D119AC">
                    <w:rPr>
                      <w:sz w:val="22"/>
                      <w:szCs w:val="22"/>
                      <w:lang w:val="lv-LV"/>
                    </w:rPr>
                    <w:t xml:space="preserve"> Ko”, Reģ.nr.40003277283</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60.35</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nepiedāvā</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5.</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392</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28.05.2018. plkst. 10:32</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“Kemitek”, Reģ.nr.40003777979</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nepiedāvā</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7.59</w:t>
                  </w:r>
                </w:p>
              </w:tc>
            </w:tr>
            <w:tr w:rsidR="00DA03A5" w:rsidRPr="00D119AC" w:rsidTr="00DA03A5">
              <w:trPr>
                <w:trHeight w:val="782"/>
              </w:trPr>
              <w:tc>
                <w:tcPr>
                  <w:tcW w:w="562"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6.</w:t>
                  </w:r>
                </w:p>
              </w:tc>
              <w:tc>
                <w:tcPr>
                  <w:tcW w:w="993" w:type="dxa"/>
                  <w:vAlign w:val="center"/>
                </w:tcPr>
                <w:p w:rsidR="00DA03A5" w:rsidRPr="00D119AC" w:rsidRDefault="00DA03A5" w:rsidP="00DA03A5">
                  <w:pPr>
                    <w:jc w:val="center"/>
                    <w:rPr>
                      <w:sz w:val="22"/>
                      <w:szCs w:val="22"/>
                      <w:lang w:val="lv-LV"/>
                    </w:rPr>
                  </w:pPr>
                  <w:r w:rsidRPr="00D119AC">
                    <w:rPr>
                      <w:sz w:val="22"/>
                      <w:szCs w:val="22"/>
                      <w:lang w:val="lv-LV"/>
                    </w:rPr>
                    <w:t>393</w:t>
                  </w:r>
                </w:p>
              </w:tc>
              <w:tc>
                <w:tcPr>
                  <w:tcW w:w="1417" w:type="dxa"/>
                  <w:shd w:val="clear" w:color="auto" w:fill="auto"/>
                  <w:vAlign w:val="center"/>
                </w:tcPr>
                <w:p w:rsidR="00DA03A5" w:rsidRPr="00D119AC" w:rsidRDefault="00DA03A5" w:rsidP="00DA03A5">
                  <w:pPr>
                    <w:ind w:left="-68"/>
                    <w:jc w:val="center"/>
                    <w:rPr>
                      <w:sz w:val="22"/>
                      <w:szCs w:val="22"/>
                      <w:lang w:val="lv-LV"/>
                    </w:rPr>
                  </w:pPr>
                  <w:r w:rsidRPr="00D119AC">
                    <w:rPr>
                      <w:sz w:val="22"/>
                      <w:szCs w:val="22"/>
                      <w:lang w:val="lv-LV"/>
                    </w:rPr>
                    <w:t>28.05.2018. plkst. 10:50</w:t>
                  </w: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SIA “</w:t>
                  </w:r>
                  <w:proofErr w:type="spellStart"/>
                  <w:r w:rsidRPr="00D119AC">
                    <w:rPr>
                      <w:sz w:val="22"/>
                      <w:szCs w:val="22"/>
                      <w:lang w:val="lv-LV"/>
                    </w:rPr>
                    <w:t>Sanitex</w:t>
                  </w:r>
                  <w:proofErr w:type="spellEnd"/>
                  <w:r w:rsidRPr="00D119AC">
                    <w:rPr>
                      <w:sz w:val="22"/>
                      <w:szCs w:val="22"/>
                      <w:lang w:val="lv-LV"/>
                    </w:rPr>
                    <w:t>”, Reģ.nr.40003166842</w:t>
                  </w:r>
                </w:p>
              </w:tc>
              <w:tc>
                <w:tcPr>
                  <w:tcW w:w="2410" w:type="dxa"/>
                  <w:shd w:val="clear" w:color="auto" w:fill="auto"/>
                  <w:vAlign w:val="center"/>
                </w:tcPr>
                <w:p w:rsidR="00DA03A5" w:rsidRPr="00D119AC" w:rsidRDefault="00DA03A5" w:rsidP="00DA03A5">
                  <w:pPr>
                    <w:jc w:val="center"/>
                    <w:rPr>
                      <w:bCs/>
                      <w:sz w:val="22"/>
                      <w:szCs w:val="22"/>
                      <w:lang w:val="lv-LV"/>
                    </w:rPr>
                  </w:pP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1.daļa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68.15</w:t>
                  </w:r>
                </w:p>
              </w:tc>
            </w:tr>
            <w:tr w:rsidR="00DA03A5" w:rsidRPr="00D119AC" w:rsidTr="00DA03A5">
              <w:trPr>
                <w:trHeight w:val="782"/>
              </w:trPr>
              <w:tc>
                <w:tcPr>
                  <w:tcW w:w="2972" w:type="dxa"/>
                  <w:gridSpan w:val="3"/>
                  <w:shd w:val="clear" w:color="auto" w:fill="auto"/>
                  <w:vAlign w:val="center"/>
                </w:tcPr>
                <w:p w:rsidR="00DA03A5" w:rsidRPr="00D119AC" w:rsidRDefault="00DA03A5" w:rsidP="00DA03A5">
                  <w:pPr>
                    <w:ind w:left="-68"/>
                    <w:jc w:val="center"/>
                    <w:rPr>
                      <w:sz w:val="22"/>
                      <w:szCs w:val="22"/>
                      <w:lang w:val="lv-LV"/>
                    </w:rPr>
                  </w:pPr>
                </w:p>
              </w:tc>
              <w:tc>
                <w:tcPr>
                  <w:tcW w:w="2268" w:type="dxa"/>
                  <w:shd w:val="clear" w:color="auto" w:fill="auto"/>
                  <w:vAlign w:val="center"/>
                </w:tcPr>
                <w:p w:rsidR="00DA03A5" w:rsidRPr="00D119AC" w:rsidRDefault="00DA03A5" w:rsidP="00DA03A5">
                  <w:pPr>
                    <w:jc w:val="center"/>
                    <w:rPr>
                      <w:sz w:val="22"/>
                      <w:szCs w:val="22"/>
                      <w:lang w:val="lv-LV"/>
                    </w:rPr>
                  </w:pPr>
                  <w:r w:rsidRPr="00D119AC">
                    <w:rPr>
                      <w:sz w:val="22"/>
                      <w:szCs w:val="22"/>
                      <w:lang w:val="lv-LV"/>
                    </w:rPr>
                    <w:t>2.daļa</w:t>
                  </w:r>
                </w:p>
              </w:tc>
              <w:tc>
                <w:tcPr>
                  <w:tcW w:w="2410" w:type="dxa"/>
                  <w:shd w:val="clear" w:color="auto" w:fill="auto"/>
                  <w:vAlign w:val="center"/>
                </w:tcPr>
                <w:p w:rsidR="00DA03A5" w:rsidRPr="00D119AC" w:rsidRDefault="00DA03A5" w:rsidP="00DA03A5">
                  <w:pPr>
                    <w:jc w:val="center"/>
                    <w:rPr>
                      <w:bCs/>
                      <w:sz w:val="22"/>
                      <w:szCs w:val="22"/>
                      <w:lang w:val="lv-LV"/>
                    </w:rPr>
                  </w:pPr>
                  <w:r w:rsidRPr="00D119AC">
                    <w:rPr>
                      <w:bCs/>
                      <w:sz w:val="22"/>
                      <w:szCs w:val="22"/>
                      <w:lang w:val="lv-LV"/>
                    </w:rPr>
                    <w:t>nepiedāvā</w:t>
                  </w:r>
                </w:p>
              </w:tc>
            </w:tr>
          </w:tbl>
          <w:p w:rsidR="004723DA" w:rsidRPr="00D119AC" w:rsidRDefault="004723DA" w:rsidP="00DA03A5">
            <w:pPr>
              <w:pStyle w:val="Header"/>
              <w:tabs>
                <w:tab w:val="left" w:pos="720"/>
              </w:tabs>
              <w:jc w:val="center"/>
              <w:rPr>
                <w:rFonts w:ascii="Times New Roman" w:hAnsi="Times New Roman"/>
                <w:sz w:val="22"/>
                <w:szCs w:val="22"/>
              </w:rPr>
            </w:pPr>
          </w:p>
        </w:tc>
      </w:tr>
      <w:tr w:rsidR="00416791" w:rsidRPr="00030A7C" w:rsidTr="00DA03A5">
        <w:trPr>
          <w:trHeight w:val="348"/>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lastRenderedPageBreak/>
              <w:t>Piedāvājumu un pieteikumu atvēršanas vieta, datums un laiks:</w:t>
            </w:r>
          </w:p>
        </w:tc>
        <w:tc>
          <w:tcPr>
            <w:tcW w:w="7796" w:type="dxa"/>
            <w:vAlign w:val="center"/>
          </w:tcPr>
          <w:p w:rsidR="00416791" w:rsidRPr="00D119AC" w:rsidRDefault="00416791" w:rsidP="005E3F7D">
            <w:pPr>
              <w:pStyle w:val="Subtitle"/>
              <w:jc w:val="left"/>
              <w:rPr>
                <w:b w:val="0"/>
                <w:sz w:val="22"/>
                <w:szCs w:val="22"/>
              </w:rPr>
            </w:pPr>
            <w:r w:rsidRPr="00D119AC">
              <w:rPr>
                <w:b w:val="0"/>
                <w:sz w:val="22"/>
                <w:szCs w:val="22"/>
              </w:rPr>
              <w:t xml:space="preserve">Vienības gatve 56, </w:t>
            </w:r>
            <w:r w:rsidR="00161FB6" w:rsidRPr="00D119AC">
              <w:rPr>
                <w:b w:val="0"/>
                <w:sz w:val="22"/>
                <w:szCs w:val="22"/>
              </w:rPr>
              <w:t>28</w:t>
            </w:r>
            <w:r w:rsidR="00614FC1" w:rsidRPr="00D119AC">
              <w:rPr>
                <w:b w:val="0"/>
                <w:sz w:val="22"/>
                <w:szCs w:val="22"/>
              </w:rPr>
              <w:t>.0</w:t>
            </w:r>
            <w:r w:rsidR="00161FB6" w:rsidRPr="00D119AC">
              <w:rPr>
                <w:b w:val="0"/>
                <w:sz w:val="22"/>
                <w:szCs w:val="22"/>
              </w:rPr>
              <w:t>5</w:t>
            </w:r>
            <w:r w:rsidR="00614FC1" w:rsidRPr="00D119AC">
              <w:rPr>
                <w:b w:val="0"/>
                <w:sz w:val="22"/>
                <w:szCs w:val="22"/>
              </w:rPr>
              <w:t>.2018., plkst. 1</w:t>
            </w:r>
            <w:r w:rsidR="005E3F7D" w:rsidRPr="00D119AC">
              <w:rPr>
                <w:b w:val="0"/>
                <w:sz w:val="22"/>
                <w:szCs w:val="22"/>
              </w:rPr>
              <w:t>3</w:t>
            </w:r>
            <w:r w:rsidR="00614FC1" w:rsidRPr="00D119AC">
              <w:rPr>
                <w:b w:val="0"/>
                <w:sz w:val="22"/>
                <w:szCs w:val="22"/>
              </w:rPr>
              <w:t>:00</w:t>
            </w:r>
          </w:p>
        </w:tc>
      </w:tr>
      <w:tr w:rsidR="00416791" w:rsidRPr="00030A7C" w:rsidTr="005E3F7D">
        <w:trPr>
          <w:trHeight w:val="772"/>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Lēmuma pieņemšanas datums:</w:t>
            </w:r>
          </w:p>
        </w:tc>
        <w:tc>
          <w:tcPr>
            <w:tcW w:w="7796" w:type="dxa"/>
            <w:vAlign w:val="center"/>
          </w:tcPr>
          <w:p w:rsidR="00416791" w:rsidRPr="00D119AC" w:rsidRDefault="005E3F7D" w:rsidP="005E3F7D">
            <w:pPr>
              <w:pStyle w:val="Header"/>
              <w:tabs>
                <w:tab w:val="clear" w:pos="4320"/>
                <w:tab w:val="clear" w:pos="8640"/>
              </w:tabs>
              <w:rPr>
                <w:rFonts w:ascii="Times New Roman" w:hAnsi="Times New Roman"/>
                <w:sz w:val="22"/>
                <w:szCs w:val="22"/>
              </w:rPr>
            </w:pPr>
            <w:r w:rsidRPr="00D119AC">
              <w:rPr>
                <w:rFonts w:ascii="Times New Roman" w:hAnsi="Times New Roman"/>
                <w:sz w:val="22"/>
                <w:szCs w:val="22"/>
              </w:rPr>
              <w:t>21</w:t>
            </w:r>
            <w:r w:rsidR="00E32280" w:rsidRPr="00D119AC">
              <w:rPr>
                <w:rFonts w:ascii="Times New Roman" w:hAnsi="Times New Roman"/>
                <w:sz w:val="22"/>
                <w:szCs w:val="22"/>
              </w:rPr>
              <w:t>.</w:t>
            </w:r>
            <w:r w:rsidR="00540701" w:rsidRPr="00D119AC">
              <w:rPr>
                <w:rFonts w:ascii="Times New Roman" w:hAnsi="Times New Roman"/>
                <w:sz w:val="22"/>
                <w:szCs w:val="22"/>
              </w:rPr>
              <w:t>0</w:t>
            </w:r>
            <w:r w:rsidRPr="00D119AC">
              <w:rPr>
                <w:rFonts w:ascii="Times New Roman" w:hAnsi="Times New Roman"/>
                <w:sz w:val="22"/>
                <w:szCs w:val="22"/>
              </w:rPr>
              <w:t>6</w:t>
            </w:r>
            <w:r w:rsidR="00E32280" w:rsidRPr="00D119AC">
              <w:rPr>
                <w:rFonts w:ascii="Times New Roman" w:hAnsi="Times New Roman"/>
                <w:sz w:val="22"/>
                <w:szCs w:val="22"/>
              </w:rPr>
              <w:t>.</w:t>
            </w:r>
            <w:r w:rsidR="00540701" w:rsidRPr="00D119AC">
              <w:rPr>
                <w:rFonts w:ascii="Times New Roman" w:hAnsi="Times New Roman"/>
                <w:sz w:val="22"/>
                <w:szCs w:val="22"/>
              </w:rPr>
              <w:t>2018</w:t>
            </w:r>
            <w:r w:rsidR="00E32280" w:rsidRPr="00D119AC">
              <w:rPr>
                <w:rFonts w:ascii="Times New Roman" w:hAnsi="Times New Roman"/>
                <w:sz w:val="22"/>
                <w:szCs w:val="22"/>
              </w:rPr>
              <w:t>.</w:t>
            </w:r>
          </w:p>
        </w:tc>
      </w:tr>
      <w:tr w:rsidR="00416791" w:rsidRPr="00030A7C" w:rsidTr="00DA03A5">
        <w:trPr>
          <w:trHeight w:val="70"/>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 xml:space="preserve">Par uzvarētāju noteiktais pretendents: </w:t>
            </w:r>
          </w:p>
        </w:tc>
        <w:tc>
          <w:tcPr>
            <w:tcW w:w="7796" w:type="dxa"/>
          </w:tcPr>
          <w:p w:rsidR="005E3F7D" w:rsidRPr="00D119AC" w:rsidRDefault="005E3F7D" w:rsidP="005E3F7D">
            <w:pPr>
              <w:rPr>
                <w:sz w:val="22"/>
                <w:szCs w:val="22"/>
                <w:lang w:val="lv-LV"/>
              </w:rPr>
            </w:pPr>
            <w:r w:rsidRPr="00D119AC">
              <w:rPr>
                <w:sz w:val="22"/>
                <w:szCs w:val="22"/>
                <w:lang w:val="lv-LV"/>
              </w:rPr>
              <w:t>1.daļa - Saimniecības līdzekļi SIA “</w:t>
            </w:r>
            <w:proofErr w:type="spellStart"/>
            <w:r w:rsidRPr="00D119AC">
              <w:rPr>
                <w:sz w:val="22"/>
                <w:szCs w:val="22"/>
                <w:lang w:val="lv-LV"/>
              </w:rPr>
              <w:t>Selding</w:t>
            </w:r>
            <w:proofErr w:type="spellEnd"/>
            <w:r w:rsidRPr="00D119AC">
              <w:rPr>
                <w:sz w:val="22"/>
                <w:szCs w:val="22"/>
                <w:lang w:val="lv-LV"/>
              </w:rPr>
              <w:t>”;</w:t>
            </w:r>
          </w:p>
          <w:p w:rsidR="00F85E5E" w:rsidRPr="00D119AC" w:rsidRDefault="005E3F7D" w:rsidP="00F435EC">
            <w:pPr>
              <w:rPr>
                <w:bCs/>
                <w:sz w:val="22"/>
                <w:szCs w:val="22"/>
                <w:lang w:val="lv-LV"/>
              </w:rPr>
            </w:pPr>
            <w:r w:rsidRPr="00D119AC">
              <w:rPr>
                <w:sz w:val="22"/>
                <w:szCs w:val="22"/>
                <w:lang w:val="lv-LV"/>
              </w:rPr>
              <w:t>2.daļa - Trauku mazgāšanas, skalošanas līdzekļi SIA “</w:t>
            </w:r>
            <w:r w:rsidR="00F435EC">
              <w:rPr>
                <w:sz w:val="22"/>
                <w:szCs w:val="22"/>
                <w:lang w:val="lv-LV"/>
              </w:rPr>
              <w:t>Selding</w:t>
            </w:r>
            <w:r w:rsidRPr="00D119AC">
              <w:rPr>
                <w:sz w:val="22"/>
                <w:szCs w:val="22"/>
                <w:lang w:val="lv-LV"/>
              </w:rPr>
              <w:t>”.</w:t>
            </w:r>
          </w:p>
        </w:tc>
      </w:tr>
      <w:tr w:rsidR="00416791" w:rsidRPr="00030A7C" w:rsidTr="00DA03A5">
        <w:trPr>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 xml:space="preserve">Par uzvarētāju noteiktā pretendenta </w:t>
            </w:r>
            <w:r w:rsidRPr="00D119AC">
              <w:rPr>
                <w:rFonts w:ascii="Times New Roman" w:hAnsi="Times New Roman"/>
                <w:bCs/>
                <w:sz w:val="22"/>
                <w:szCs w:val="22"/>
              </w:rPr>
              <w:lastRenderedPageBreak/>
              <w:t xml:space="preserve">salīdzinošās priekšrocības: </w:t>
            </w:r>
          </w:p>
        </w:tc>
        <w:tc>
          <w:tcPr>
            <w:tcW w:w="7796" w:type="dxa"/>
            <w:vAlign w:val="center"/>
          </w:tcPr>
          <w:p w:rsidR="00D74751" w:rsidRPr="00D119AC" w:rsidRDefault="00D74751" w:rsidP="00D74751">
            <w:pPr>
              <w:jc w:val="both"/>
              <w:rPr>
                <w:b/>
                <w:sz w:val="22"/>
                <w:szCs w:val="22"/>
              </w:rPr>
            </w:pPr>
            <w:proofErr w:type="spellStart"/>
            <w:r w:rsidRPr="00D119AC">
              <w:rPr>
                <w:sz w:val="22"/>
                <w:szCs w:val="22"/>
              </w:rPr>
              <w:lastRenderedPageBreak/>
              <w:t>Līguma</w:t>
            </w:r>
            <w:proofErr w:type="spellEnd"/>
            <w:r w:rsidRPr="00D119AC">
              <w:rPr>
                <w:sz w:val="22"/>
                <w:szCs w:val="22"/>
              </w:rPr>
              <w:t xml:space="preserve"> </w:t>
            </w:r>
            <w:proofErr w:type="spellStart"/>
            <w:r w:rsidRPr="00D119AC">
              <w:rPr>
                <w:sz w:val="22"/>
                <w:szCs w:val="22"/>
              </w:rPr>
              <w:t>slēgšanas</w:t>
            </w:r>
            <w:proofErr w:type="spellEnd"/>
            <w:r w:rsidRPr="00D119AC">
              <w:rPr>
                <w:sz w:val="22"/>
                <w:szCs w:val="22"/>
              </w:rPr>
              <w:t xml:space="preserve"> </w:t>
            </w:r>
            <w:proofErr w:type="spellStart"/>
            <w:r w:rsidRPr="00D119AC">
              <w:rPr>
                <w:sz w:val="22"/>
                <w:szCs w:val="22"/>
              </w:rPr>
              <w:t>tiesības</w:t>
            </w:r>
            <w:proofErr w:type="spellEnd"/>
            <w:r w:rsidRPr="00D119AC">
              <w:rPr>
                <w:sz w:val="22"/>
                <w:szCs w:val="22"/>
              </w:rPr>
              <w:t xml:space="preserve"> </w:t>
            </w:r>
            <w:proofErr w:type="spellStart"/>
            <w:r w:rsidRPr="00D119AC">
              <w:rPr>
                <w:sz w:val="22"/>
                <w:szCs w:val="22"/>
              </w:rPr>
              <w:t>tiks</w:t>
            </w:r>
            <w:proofErr w:type="spellEnd"/>
            <w:r w:rsidRPr="00D119AC">
              <w:rPr>
                <w:sz w:val="22"/>
                <w:szCs w:val="22"/>
              </w:rPr>
              <w:t xml:space="preserve"> piešķirtas Pretendentam, kurš būs iesniedzis Iepirkuma noteikumu un Tehniskās specifikācijas (Pielikums Nr.2) prasībām atbilstošu piedāvājumu ar viszemāko kopsummu.</w:t>
            </w:r>
          </w:p>
          <w:p w:rsidR="00791276" w:rsidRPr="00D119AC" w:rsidRDefault="00791276" w:rsidP="00652793">
            <w:pPr>
              <w:pStyle w:val="Header"/>
              <w:tabs>
                <w:tab w:val="clear" w:pos="4320"/>
                <w:tab w:val="clear" w:pos="8640"/>
              </w:tabs>
              <w:rPr>
                <w:rFonts w:ascii="Times New Roman" w:hAnsi="Times New Roman"/>
                <w:sz w:val="22"/>
                <w:szCs w:val="22"/>
              </w:rPr>
            </w:pPr>
          </w:p>
        </w:tc>
      </w:tr>
      <w:tr w:rsidR="00416791" w:rsidRPr="00030A7C" w:rsidTr="00DA03A5">
        <w:trPr>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lastRenderedPageBreak/>
              <w:t>Noraidītie pretendenti un to noraidīšanas iemesli:</w:t>
            </w:r>
          </w:p>
        </w:tc>
        <w:tc>
          <w:tcPr>
            <w:tcW w:w="7796" w:type="dxa"/>
            <w:vAlign w:val="center"/>
          </w:tcPr>
          <w:p w:rsidR="00E32280" w:rsidRPr="00D119AC" w:rsidRDefault="00A839E3" w:rsidP="00A839E3">
            <w:pPr>
              <w:jc w:val="both"/>
              <w:rPr>
                <w:sz w:val="22"/>
                <w:szCs w:val="22"/>
                <w:lang w:val="lv-LV"/>
              </w:rPr>
            </w:pPr>
            <w:r w:rsidRPr="00D119AC">
              <w:rPr>
                <w:sz w:val="22"/>
                <w:szCs w:val="22"/>
              </w:rPr>
              <w:t>SIA “</w:t>
            </w:r>
            <w:proofErr w:type="spellStart"/>
            <w:r w:rsidRPr="00D119AC">
              <w:rPr>
                <w:sz w:val="22"/>
                <w:szCs w:val="22"/>
              </w:rPr>
              <w:t>Sentios</w:t>
            </w:r>
            <w:proofErr w:type="spellEnd"/>
            <w:r w:rsidRPr="00D119AC">
              <w:rPr>
                <w:sz w:val="22"/>
                <w:szCs w:val="22"/>
              </w:rPr>
              <w:t xml:space="preserve">” </w:t>
            </w:r>
            <w:r w:rsidRPr="00D119AC">
              <w:rPr>
                <w:sz w:val="22"/>
                <w:szCs w:val="22"/>
                <w:lang w:val="lv-LV"/>
              </w:rPr>
              <w:t>iesniegtais piedāvājumi neatbilst iepirkuma noteikumu prasībām.</w:t>
            </w:r>
          </w:p>
          <w:p w:rsidR="00A839E3" w:rsidRPr="00D119AC" w:rsidRDefault="00A839E3" w:rsidP="00A839E3">
            <w:pPr>
              <w:jc w:val="both"/>
              <w:rPr>
                <w:sz w:val="22"/>
                <w:szCs w:val="22"/>
                <w:lang w:val="lv-LV"/>
              </w:rPr>
            </w:pPr>
            <w:r w:rsidRPr="00D119AC">
              <w:rPr>
                <w:sz w:val="22"/>
                <w:szCs w:val="22"/>
                <w:lang w:val="lv-LV"/>
              </w:rPr>
              <w:t>SIA “</w:t>
            </w:r>
            <w:proofErr w:type="spellStart"/>
            <w:r w:rsidRPr="00D119AC">
              <w:rPr>
                <w:sz w:val="22"/>
                <w:szCs w:val="22"/>
                <w:lang w:val="lv-LV"/>
              </w:rPr>
              <w:t>Sanitex</w:t>
            </w:r>
            <w:proofErr w:type="spellEnd"/>
            <w:r w:rsidRPr="00D119AC">
              <w:rPr>
                <w:sz w:val="22"/>
                <w:szCs w:val="22"/>
                <w:lang w:val="lv-LV"/>
              </w:rPr>
              <w:t>” piedāvājums neatbilst tehniskās specifikācijas prasībām</w:t>
            </w:r>
            <w:r w:rsidR="00F26CB2" w:rsidRPr="00D119AC">
              <w:rPr>
                <w:sz w:val="22"/>
                <w:szCs w:val="22"/>
                <w:lang w:val="lv-LV"/>
              </w:rPr>
              <w:t>.</w:t>
            </w:r>
          </w:p>
          <w:p w:rsidR="00F26CB2" w:rsidRDefault="00F26CB2" w:rsidP="00A839E3">
            <w:pPr>
              <w:jc w:val="both"/>
              <w:rPr>
                <w:sz w:val="22"/>
                <w:szCs w:val="22"/>
                <w:lang w:val="lv-LV"/>
              </w:rPr>
            </w:pPr>
            <w:r w:rsidRPr="00D119AC">
              <w:rPr>
                <w:sz w:val="22"/>
                <w:szCs w:val="22"/>
                <w:lang w:val="lv-LV"/>
              </w:rPr>
              <w:t>SIA “</w:t>
            </w:r>
            <w:proofErr w:type="spellStart"/>
            <w:r w:rsidRPr="00D119AC">
              <w:rPr>
                <w:sz w:val="22"/>
                <w:szCs w:val="22"/>
                <w:lang w:val="lv-LV"/>
              </w:rPr>
              <w:t>Mayeri</w:t>
            </w:r>
            <w:proofErr w:type="spellEnd"/>
            <w:r w:rsidRPr="00D119AC">
              <w:rPr>
                <w:sz w:val="22"/>
                <w:szCs w:val="22"/>
                <w:lang w:val="lv-LV"/>
              </w:rPr>
              <w:t xml:space="preserve"> Professional” ” piedāvājums neatbilst tehniskās specifikācijas prasībām.</w:t>
            </w:r>
          </w:p>
          <w:p w:rsidR="00165B2B" w:rsidRPr="00D119AC" w:rsidRDefault="00165B2B" w:rsidP="00A839E3">
            <w:pPr>
              <w:jc w:val="both"/>
              <w:rPr>
                <w:sz w:val="22"/>
                <w:szCs w:val="22"/>
                <w:lang w:val="lv-LV"/>
              </w:rPr>
            </w:pPr>
            <w:r>
              <w:rPr>
                <w:sz w:val="22"/>
                <w:szCs w:val="22"/>
                <w:lang w:val="lv-LV"/>
              </w:rPr>
              <w:t xml:space="preserve">SIA “Kemitek” </w:t>
            </w:r>
            <w:r w:rsidRPr="00D119AC">
              <w:rPr>
                <w:sz w:val="22"/>
                <w:szCs w:val="22"/>
                <w:lang w:val="lv-LV"/>
              </w:rPr>
              <w:t>piedāvājums neatbilst tehniskās specifikācijas prasībām.</w:t>
            </w:r>
            <w:bookmarkStart w:id="0" w:name="_GoBack"/>
            <w:bookmarkEnd w:id="0"/>
          </w:p>
        </w:tc>
      </w:tr>
      <w:tr w:rsidR="00416791" w:rsidRPr="00030A7C" w:rsidTr="00DA03A5">
        <w:trPr>
          <w:jc w:val="center"/>
        </w:trPr>
        <w:tc>
          <w:tcPr>
            <w:tcW w:w="1838" w:type="dxa"/>
            <w:vAlign w:val="center"/>
          </w:tcPr>
          <w:p w:rsidR="00416791" w:rsidRPr="00D119AC" w:rsidRDefault="00416791" w:rsidP="00791276">
            <w:pPr>
              <w:pStyle w:val="Header"/>
              <w:tabs>
                <w:tab w:val="clear" w:pos="4320"/>
                <w:tab w:val="clear" w:pos="8640"/>
              </w:tabs>
              <w:rPr>
                <w:rFonts w:ascii="Times New Roman" w:hAnsi="Times New Roman"/>
                <w:bCs/>
                <w:sz w:val="22"/>
                <w:szCs w:val="22"/>
              </w:rPr>
            </w:pPr>
            <w:r w:rsidRPr="00D119AC">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7796" w:type="dxa"/>
            <w:vAlign w:val="center"/>
          </w:tcPr>
          <w:p w:rsidR="00416791" w:rsidRPr="00D119AC" w:rsidRDefault="000F6564" w:rsidP="00791276">
            <w:pPr>
              <w:rPr>
                <w:bCs/>
                <w:sz w:val="22"/>
                <w:szCs w:val="22"/>
                <w:lang w:val="lv-LV"/>
              </w:rPr>
            </w:pPr>
            <w:r w:rsidRPr="00D119AC">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030A7C" w:rsidRDefault="007C7064" w:rsidP="0065064C">
      <w:pPr>
        <w:pStyle w:val="BodyText2"/>
      </w:pPr>
    </w:p>
    <w:p w:rsidR="00030A7C" w:rsidRPr="00030A7C" w:rsidRDefault="00030A7C">
      <w:pPr>
        <w:pStyle w:val="BodyText2"/>
      </w:pPr>
    </w:p>
    <w:sectPr w:rsidR="00030A7C" w:rsidRPr="00030A7C"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B2B">
      <w:rPr>
        <w:rStyle w:val="PageNumber"/>
        <w:noProof/>
      </w:rPr>
      <w:t>3</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5DC94175"/>
    <w:multiLevelType w:val="multilevel"/>
    <w:tmpl w:val="185285A8"/>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1"/>
  </w:num>
  <w:num w:numId="7">
    <w:abstractNumId w:val="3"/>
  </w:num>
  <w:num w:numId="8">
    <w:abstractNumId w:val="7"/>
  </w:num>
  <w:num w:numId="9">
    <w:abstractNumId w:val="2"/>
  </w:num>
  <w:num w:numId="10">
    <w:abstractNumId w:val="4"/>
  </w:num>
  <w:num w:numId="11">
    <w:abstractNumId w:val="6"/>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0A7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5B2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3F7D"/>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839E3"/>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119AC"/>
    <w:rsid w:val="00D20685"/>
    <w:rsid w:val="00D277F2"/>
    <w:rsid w:val="00D31926"/>
    <w:rsid w:val="00D31FDE"/>
    <w:rsid w:val="00D368B6"/>
    <w:rsid w:val="00D37459"/>
    <w:rsid w:val="00D74751"/>
    <w:rsid w:val="00D80485"/>
    <w:rsid w:val="00D86354"/>
    <w:rsid w:val="00D866BD"/>
    <w:rsid w:val="00D93EED"/>
    <w:rsid w:val="00D97696"/>
    <w:rsid w:val="00DA03A5"/>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26CB2"/>
    <w:rsid w:val="00F3565F"/>
    <w:rsid w:val="00F435EC"/>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link w:val="TitleChar"/>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TitleChar">
    <w:name w:val="Title Char"/>
    <w:link w:val="Title"/>
    <w:rsid w:val="00A839E3"/>
    <w:rPr>
      <w:sz w:val="24"/>
    </w:rPr>
  </w:style>
  <w:style w:type="character" w:customStyle="1" w:styleId="ListParagraphChar">
    <w:name w:val="List Paragraph Char"/>
    <w:link w:val="ListParagraph"/>
    <w:uiPriority w:val="34"/>
    <w:rsid w:val="00A839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341</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43</cp:revision>
  <cp:lastPrinted>2013-07-30T13:57:00Z</cp:lastPrinted>
  <dcterms:created xsi:type="dcterms:W3CDTF">2017-05-24T05:48:00Z</dcterms:created>
  <dcterms:modified xsi:type="dcterms:W3CDTF">2018-06-22T08:22:00Z</dcterms:modified>
</cp:coreProperties>
</file>